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C834F" w14:textId="77777777" w:rsidR="009D6A69" w:rsidRDefault="00693092" w:rsidP="00670FD4">
      <w:pPr>
        <w:shd w:val="clear" w:color="auto" w:fill="F2F2F2" w:themeFill="background1" w:themeFillShade="F2"/>
        <w:ind w:firstLine="0"/>
        <w:jc w:val="center"/>
        <w:rPr>
          <w:b/>
          <w:sz w:val="28"/>
          <w:szCs w:val="28"/>
        </w:rPr>
      </w:pPr>
      <w:r>
        <w:rPr>
          <w:b/>
          <w:sz w:val="28"/>
          <w:szCs w:val="28"/>
        </w:rPr>
        <w:t>TERMO DE REFERÊNCIA</w:t>
      </w:r>
    </w:p>
    <w:p w14:paraId="0E661DE2" w14:textId="77777777" w:rsidR="009D6A69" w:rsidRDefault="00693092">
      <w:pPr>
        <w:ind w:firstLine="0"/>
        <w:jc w:val="center"/>
        <w:rPr>
          <w:bCs/>
          <w:szCs w:val="18"/>
        </w:rPr>
      </w:pPr>
      <w:r>
        <w:rPr>
          <w:bCs/>
          <w:szCs w:val="18"/>
        </w:rPr>
        <w:t>Caracterização do(s) objeto(s) que se pretenda(m) contratar</w:t>
      </w:r>
    </w:p>
    <w:p w14:paraId="7E9512B5" w14:textId="77777777" w:rsidR="009D6A69" w:rsidRDefault="00693092">
      <w:pPr>
        <w:pStyle w:val="Ttulo1"/>
      </w:pPr>
      <w:r>
        <w:t>Definição do Objeto</w:t>
      </w:r>
    </w:p>
    <w:tbl>
      <w:tblPr>
        <w:tblW w:w="10314" w:type="dxa"/>
        <w:tblLayout w:type="fixed"/>
        <w:tblLook w:val="04A0" w:firstRow="1" w:lastRow="0" w:firstColumn="1" w:lastColumn="0" w:noHBand="0" w:noVBand="1"/>
      </w:tblPr>
      <w:tblGrid>
        <w:gridCol w:w="2655"/>
        <w:gridCol w:w="3548"/>
        <w:gridCol w:w="1986"/>
        <w:gridCol w:w="2125"/>
      </w:tblGrid>
      <w:tr w:rsidR="009D6A69" w14:paraId="4B1040A2" w14:textId="77777777">
        <w:tc>
          <w:tcPr>
            <w:tcW w:w="10313" w:type="dxa"/>
            <w:gridSpan w:val="4"/>
            <w:tcBorders>
              <w:top w:val="single" w:sz="4" w:space="0" w:color="000000"/>
              <w:left w:val="single" w:sz="4" w:space="0" w:color="000000"/>
              <w:bottom w:val="single" w:sz="4" w:space="0" w:color="000000"/>
              <w:right w:val="single" w:sz="4" w:space="0" w:color="000000"/>
            </w:tcBorders>
            <w:vAlign w:val="center"/>
          </w:tcPr>
          <w:p w14:paraId="37FB9F04" w14:textId="77777777" w:rsidR="009D6A69" w:rsidRDefault="00693092">
            <w:pPr>
              <w:widowControl w:val="0"/>
              <w:ind w:firstLine="0"/>
              <w:jc w:val="center"/>
              <w:rPr>
                <w:b/>
                <w:bCs/>
                <w:szCs w:val="18"/>
              </w:rPr>
            </w:pPr>
            <w:r>
              <w:rPr>
                <w:b/>
                <w:bCs/>
                <w:szCs w:val="18"/>
              </w:rPr>
              <w:t>Natureza(s) do(s) Objeto(s)</w:t>
            </w:r>
          </w:p>
        </w:tc>
      </w:tr>
      <w:tr w:rsidR="009D6A69" w14:paraId="3C575D88" w14:textId="77777777" w:rsidTr="00670FD4">
        <w:trPr>
          <w:trHeight w:val="76"/>
        </w:trPr>
        <w:tc>
          <w:tcPr>
            <w:tcW w:w="2654" w:type="dxa"/>
            <w:tcBorders>
              <w:top w:val="single" w:sz="4" w:space="0" w:color="000000"/>
              <w:left w:val="single" w:sz="4" w:space="0" w:color="000000"/>
              <w:bottom w:val="single" w:sz="4" w:space="0" w:color="000000"/>
              <w:right w:val="single" w:sz="4" w:space="0" w:color="000000"/>
            </w:tcBorders>
            <w:vAlign w:val="center"/>
          </w:tcPr>
          <w:p w14:paraId="498C5B12"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Aquisição de Bens</w:t>
            </w:r>
          </w:p>
        </w:tc>
        <w:tc>
          <w:tcPr>
            <w:tcW w:w="3548" w:type="dxa"/>
            <w:tcBorders>
              <w:top w:val="single" w:sz="4" w:space="0" w:color="000000"/>
              <w:left w:val="single" w:sz="4" w:space="0" w:color="000000"/>
              <w:bottom w:val="single" w:sz="4" w:space="0" w:color="000000"/>
              <w:right w:val="single" w:sz="4" w:space="0" w:color="000000"/>
            </w:tcBorders>
            <w:vAlign w:val="center"/>
          </w:tcPr>
          <w:p w14:paraId="288EA1AC"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Obra(s) de Engenharia</w:t>
            </w:r>
          </w:p>
        </w:tc>
        <w:tc>
          <w:tcPr>
            <w:tcW w:w="1986" w:type="dxa"/>
            <w:tcBorders>
              <w:top w:val="single" w:sz="4" w:space="0" w:color="000000"/>
              <w:left w:val="single" w:sz="4" w:space="0" w:color="000000"/>
              <w:bottom w:val="single" w:sz="4" w:space="0" w:color="000000"/>
              <w:right w:val="single" w:sz="4" w:space="0" w:color="000000"/>
            </w:tcBorders>
            <w:vAlign w:val="center"/>
          </w:tcPr>
          <w:p w14:paraId="02DD1F0D"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Locação de Bens</w:t>
            </w:r>
          </w:p>
        </w:tc>
        <w:tc>
          <w:tcPr>
            <w:tcW w:w="2125" w:type="dxa"/>
            <w:tcBorders>
              <w:top w:val="single" w:sz="4" w:space="0" w:color="000000"/>
              <w:left w:val="single" w:sz="4" w:space="0" w:color="000000"/>
              <w:bottom w:val="single" w:sz="4" w:space="0" w:color="000000"/>
              <w:right w:val="single" w:sz="4" w:space="0" w:color="000000"/>
            </w:tcBorders>
            <w:vAlign w:val="center"/>
          </w:tcPr>
          <w:p w14:paraId="77FCE7D9"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Concessão de Bens</w:t>
            </w:r>
          </w:p>
        </w:tc>
      </w:tr>
      <w:tr w:rsidR="009D6A69" w14:paraId="5B18ACE0" w14:textId="77777777" w:rsidTr="00670FD4">
        <w:trPr>
          <w:trHeight w:val="70"/>
        </w:trPr>
        <w:tc>
          <w:tcPr>
            <w:tcW w:w="2654" w:type="dxa"/>
            <w:tcBorders>
              <w:top w:val="single" w:sz="4" w:space="0" w:color="000000"/>
              <w:left w:val="single" w:sz="4" w:space="0" w:color="000000"/>
              <w:bottom w:val="single" w:sz="4" w:space="0" w:color="000000"/>
              <w:right w:val="single" w:sz="4" w:space="0" w:color="000000"/>
            </w:tcBorders>
            <w:vAlign w:val="center"/>
          </w:tcPr>
          <w:p w14:paraId="7EABF1F6" w14:textId="77777777" w:rsidR="009D6A69" w:rsidRDefault="00693092">
            <w:pPr>
              <w:widowControl w:val="0"/>
              <w:ind w:firstLine="0"/>
              <w:rPr>
                <w:sz w:val="16"/>
                <w:szCs w:val="16"/>
              </w:rPr>
            </w:pPr>
            <w:proofErr w:type="gramStart"/>
            <w:r>
              <w:rPr>
                <w:sz w:val="16"/>
                <w:szCs w:val="16"/>
              </w:rPr>
              <w:t>( x</w:t>
            </w:r>
            <w:proofErr w:type="gramEnd"/>
            <w:r>
              <w:rPr>
                <w:sz w:val="16"/>
                <w:szCs w:val="16"/>
              </w:rPr>
              <w:t xml:space="preserve"> ) Prestação de Serviços </w:t>
            </w:r>
          </w:p>
        </w:tc>
        <w:tc>
          <w:tcPr>
            <w:tcW w:w="3548" w:type="dxa"/>
            <w:tcBorders>
              <w:top w:val="single" w:sz="4" w:space="0" w:color="000000"/>
              <w:left w:val="single" w:sz="4" w:space="0" w:color="000000"/>
              <w:bottom w:val="single" w:sz="4" w:space="0" w:color="000000"/>
              <w:right w:val="single" w:sz="4" w:space="0" w:color="000000"/>
            </w:tcBorders>
            <w:vAlign w:val="center"/>
          </w:tcPr>
          <w:p w14:paraId="256E561E"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Prestação de Serviços de Engenharia</w:t>
            </w:r>
          </w:p>
        </w:tc>
        <w:tc>
          <w:tcPr>
            <w:tcW w:w="1986" w:type="dxa"/>
            <w:tcBorders>
              <w:top w:val="single" w:sz="4" w:space="0" w:color="000000"/>
              <w:left w:val="single" w:sz="4" w:space="0" w:color="000000"/>
              <w:bottom w:val="single" w:sz="4" w:space="0" w:color="000000"/>
              <w:right w:val="single" w:sz="4" w:space="0" w:color="000000"/>
            </w:tcBorders>
            <w:vAlign w:val="center"/>
          </w:tcPr>
          <w:p w14:paraId="14EA782B"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Alienação de Bens</w:t>
            </w:r>
          </w:p>
        </w:tc>
        <w:tc>
          <w:tcPr>
            <w:tcW w:w="2125" w:type="dxa"/>
            <w:tcBorders>
              <w:top w:val="single" w:sz="4" w:space="0" w:color="000000"/>
              <w:left w:val="single" w:sz="4" w:space="0" w:color="000000"/>
              <w:bottom w:val="single" w:sz="4" w:space="0" w:color="000000"/>
              <w:right w:val="single" w:sz="4" w:space="0" w:color="000000"/>
            </w:tcBorders>
            <w:vAlign w:val="center"/>
          </w:tcPr>
          <w:p w14:paraId="0210D71A"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Permissão de Bens</w:t>
            </w:r>
          </w:p>
        </w:tc>
      </w:tr>
      <w:tr w:rsidR="009D6A69" w14:paraId="132A2473" w14:textId="77777777">
        <w:trPr>
          <w:trHeight w:val="121"/>
        </w:trPr>
        <w:tc>
          <w:tcPr>
            <w:tcW w:w="6202" w:type="dxa"/>
            <w:gridSpan w:val="2"/>
            <w:tcBorders>
              <w:top w:val="single" w:sz="4" w:space="0" w:color="000000"/>
              <w:left w:val="single" w:sz="4" w:space="0" w:color="000000"/>
              <w:bottom w:val="single" w:sz="4" w:space="0" w:color="000000"/>
              <w:right w:val="single" w:sz="4" w:space="0" w:color="000000"/>
            </w:tcBorders>
            <w:vAlign w:val="center"/>
          </w:tcPr>
          <w:p w14:paraId="5CAD0290"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Prestação de Serviços com Regime de Dedicação Exclusiva de Mão de Obra </w:t>
            </w: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14:paraId="74484273"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Fornecimento e prestação de serviço associados</w:t>
            </w:r>
          </w:p>
        </w:tc>
      </w:tr>
    </w:tbl>
    <w:p w14:paraId="52C50E31" w14:textId="77777777" w:rsidR="009D6A69" w:rsidRDefault="009D6A69"/>
    <w:tbl>
      <w:tblPr>
        <w:tblW w:w="10314" w:type="dxa"/>
        <w:tblLayout w:type="fixed"/>
        <w:tblLook w:val="04A0" w:firstRow="1" w:lastRow="0" w:firstColumn="1" w:lastColumn="0" w:noHBand="0" w:noVBand="1"/>
      </w:tblPr>
      <w:tblGrid>
        <w:gridCol w:w="2579"/>
        <w:gridCol w:w="2579"/>
        <w:gridCol w:w="2578"/>
        <w:gridCol w:w="2578"/>
      </w:tblGrid>
      <w:tr w:rsidR="009D6A69" w14:paraId="5C927BF2" w14:textId="77777777">
        <w:tc>
          <w:tcPr>
            <w:tcW w:w="10313" w:type="dxa"/>
            <w:gridSpan w:val="4"/>
            <w:tcBorders>
              <w:top w:val="single" w:sz="4" w:space="0" w:color="000000"/>
              <w:left w:val="single" w:sz="4" w:space="0" w:color="000000"/>
              <w:bottom w:val="single" w:sz="4" w:space="0" w:color="000000"/>
              <w:right w:val="single" w:sz="4" w:space="0" w:color="000000"/>
            </w:tcBorders>
            <w:vAlign w:val="center"/>
          </w:tcPr>
          <w:p w14:paraId="6CBE5367" w14:textId="77777777" w:rsidR="009D6A69" w:rsidRDefault="00693092">
            <w:pPr>
              <w:widowControl w:val="0"/>
              <w:ind w:firstLine="0"/>
              <w:jc w:val="center"/>
              <w:rPr>
                <w:b/>
                <w:bCs/>
                <w:szCs w:val="18"/>
              </w:rPr>
            </w:pPr>
            <w:r>
              <w:rPr>
                <w:b/>
                <w:bCs/>
                <w:szCs w:val="18"/>
              </w:rPr>
              <w:t>Tipo(s) de Objeto(s)</w:t>
            </w:r>
          </w:p>
        </w:tc>
      </w:tr>
      <w:tr w:rsidR="009D6A69" w14:paraId="2BB8CAAA" w14:textId="77777777">
        <w:trPr>
          <w:trHeight w:val="163"/>
        </w:trPr>
        <w:tc>
          <w:tcPr>
            <w:tcW w:w="2578" w:type="dxa"/>
            <w:tcBorders>
              <w:top w:val="single" w:sz="4" w:space="0" w:color="000000"/>
              <w:left w:val="single" w:sz="4" w:space="0" w:color="000000"/>
              <w:bottom w:val="single" w:sz="4" w:space="0" w:color="000000"/>
              <w:right w:val="single" w:sz="4" w:space="0" w:color="000000"/>
            </w:tcBorders>
            <w:vAlign w:val="center"/>
          </w:tcPr>
          <w:p w14:paraId="7AA9D18C"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Bem(</w:t>
            </w:r>
            <w:proofErr w:type="spellStart"/>
            <w:r>
              <w:rPr>
                <w:sz w:val="16"/>
                <w:szCs w:val="16"/>
              </w:rPr>
              <w:t>ns</w:t>
            </w:r>
            <w:proofErr w:type="spellEnd"/>
            <w:r>
              <w:rPr>
                <w:sz w:val="16"/>
                <w:szCs w:val="16"/>
              </w:rPr>
              <w:t>) Comum(</w:t>
            </w:r>
            <w:proofErr w:type="spellStart"/>
            <w:r>
              <w:rPr>
                <w:sz w:val="16"/>
                <w:szCs w:val="16"/>
              </w:rPr>
              <w:t>ns</w:t>
            </w:r>
            <w:proofErr w:type="spellEnd"/>
            <w:r>
              <w:rPr>
                <w:sz w:val="16"/>
                <w:szCs w:val="16"/>
              </w:rPr>
              <w:t>)</w:t>
            </w:r>
          </w:p>
        </w:tc>
        <w:tc>
          <w:tcPr>
            <w:tcW w:w="2579" w:type="dxa"/>
            <w:tcBorders>
              <w:top w:val="single" w:sz="4" w:space="0" w:color="000000"/>
              <w:left w:val="single" w:sz="4" w:space="0" w:color="000000"/>
              <w:bottom w:val="single" w:sz="4" w:space="0" w:color="000000"/>
              <w:right w:val="single" w:sz="4" w:space="0" w:color="000000"/>
            </w:tcBorders>
            <w:vAlign w:val="center"/>
          </w:tcPr>
          <w:p w14:paraId="5FD8D182"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Bem(</w:t>
            </w:r>
            <w:proofErr w:type="spellStart"/>
            <w:r>
              <w:rPr>
                <w:sz w:val="16"/>
                <w:szCs w:val="16"/>
              </w:rPr>
              <w:t>ns</w:t>
            </w:r>
            <w:proofErr w:type="spellEnd"/>
            <w:r>
              <w:rPr>
                <w:sz w:val="16"/>
                <w:szCs w:val="16"/>
              </w:rPr>
              <w:t>) Especiais</w:t>
            </w:r>
          </w:p>
        </w:tc>
        <w:tc>
          <w:tcPr>
            <w:tcW w:w="2578" w:type="dxa"/>
            <w:tcBorders>
              <w:top w:val="single" w:sz="4" w:space="0" w:color="000000"/>
              <w:left w:val="single" w:sz="4" w:space="0" w:color="000000"/>
              <w:bottom w:val="single" w:sz="4" w:space="0" w:color="000000"/>
              <w:right w:val="single" w:sz="4" w:space="0" w:color="000000"/>
            </w:tcBorders>
            <w:vAlign w:val="center"/>
          </w:tcPr>
          <w:p w14:paraId="1BEA4690" w14:textId="77777777" w:rsidR="009D6A69" w:rsidRDefault="00693092">
            <w:pPr>
              <w:widowControl w:val="0"/>
              <w:ind w:firstLine="0"/>
              <w:jc w:val="left"/>
              <w:rPr>
                <w:sz w:val="16"/>
                <w:szCs w:val="16"/>
              </w:rPr>
            </w:pPr>
            <w:proofErr w:type="gramStart"/>
            <w:r>
              <w:rPr>
                <w:sz w:val="16"/>
                <w:szCs w:val="16"/>
              </w:rPr>
              <w:t>( x</w:t>
            </w:r>
            <w:proofErr w:type="gramEnd"/>
            <w:r>
              <w:rPr>
                <w:sz w:val="16"/>
                <w:szCs w:val="16"/>
              </w:rPr>
              <w:t xml:space="preserve"> ) Serviço(s) Comum(</w:t>
            </w:r>
            <w:proofErr w:type="spellStart"/>
            <w:r>
              <w:rPr>
                <w:sz w:val="16"/>
                <w:szCs w:val="16"/>
              </w:rPr>
              <w:t>ns</w:t>
            </w:r>
            <w:proofErr w:type="spellEnd"/>
            <w:r>
              <w:rPr>
                <w:sz w:val="16"/>
                <w:szCs w:val="16"/>
              </w:rPr>
              <w:t>)</w:t>
            </w:r>
          </w:p>
        </w:tc>
        <w:tc>
          <w:tcPr>
            <w:tcW w:w="2578" w:type="dxa"/>
            <w:tcBorders>
              <w:top w:val="single" w:sz="4" w:space="0" w:color="000000"/>
              <w:left w:val="single" w:sz="4" w:space="0" w:color="000000"/>
              <w:bottom w:val="single" w:sz="4" w:space="0" w:color="000000"/>
              <w:right w:val="single" w:sz="4" w:space="0" w:color="000000"/>
            </w:tcBorders>
            <w:vAlign w:val="center"/>
          </w:tcPr>
          <w:p w14:paraId="05A1D018"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Serviço(s) Especial(</w:t>
            </w:r>
            <w:proofErr w:type="spellStart"/>
            <w:r>
              <w:rPr>
                <w:sz w:val="16"/>
                <w:szCs w:val="16"/>
              </w:rPr>
              <w:t>is</w:t>
            </w:r>
            <w:proofErr w:type="spellEnd"/>
            <w:r>
              <w:rPr>
                <w:sz w:val="16"/>
                <w:szCs w:val="16"/>
              </w:rPr>
              <w:t>)</w:t>
            </w:r>
          </w:p>
        </w:tc>
      </w:tr>
      <w:tr w:rsidR="009D6A69" w14:paraId="6E454934" w14:textId="77777777">
        <w:trPr>
          <w:trHeight w:val="163"/>
        </w:trPr>
        <w:tc>
          <w:tcPr>
            <w:tcW w:w="5157" w:type="dxa"/>
            <w:gridSpan w:val="2"/>
            <w:tcBorders>
              <w:top w:val="single" w:sz="4" w:space="0" w:color="000000"/>
              <w:left w:val="single" w:sz="4" w:space="0" w:color="000000"/>
              <w:bottom w:val="single" w:sz="4" w:space="0" w:color="000000"/>
              <w:right w:val="single" w:sz="4" w:space="0" w:color="000000"/>
            </w:tcBorders>
            <w:vAlign w:val="center"/>
          </w:tcPr>
          <w:p w14:paraId="6B439A19"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Obra(s) Comum(</w:t>
            </w:r>
            <w:proofErr w:type="spellStart"/>
            <w:r>
              <w:rPr>
                <w:sz w:val="16"/>
                <w:szCs w:val="16"/>
              </w:rPr>
              <w:t>ns</w:t>
            </w:r>
            <w:proofErr w:type="spellEnd"/>
            <w:r>
              <w:rPr>
                <w:sz w:val="16"/>
                <w:szCs w:val="16"/>
              </w:rPr>
              <w:t>) de Engenharia</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14:paraId="1B7B8FB8"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Obra(s) Especial(</w:t>
            </w:r>
            <w:proofErr w:type="spellStart"/>
            <w:r>
              <w:rPr>
                <w:sz w:val="16"/>
                <w:szCs w:val="16"/>
              </w:rPr>
              <w:t>is</w:t>
            </w:r>
            <w:proofErr w:type="spellEnd"/>
            <w:r>
              <w:rPr>
                <w:sz w:val="16"/>
                <w:szCs w:val="16"/>
              </w:rPr>
              <w:t>) de Engenharia</w:t>
            </w:r>
          </w:p>
        </w:tc>
      </w:tr>
      <w:tr w:rsidR="009D6A69" w14:paraId="641D9501" w14:textId="77777777">
        <w:trPr>
          <w:trHeight w:val="163"/>
        </w:trPr>
        <w:tc>
          <w:tcPr>
            <w:tcW w:w="5157" w:type="dxa"/>
            <w:gridSpan w:val="2"/>
            <w:tcBorders>
              <w:top w:val="single" w:sz="4" w:space="0" w:color="000000"/>
              <w:left w:val="single" w:sz="4" w:space="0" w:color="000000"/>
              <w:bottom w:val="single" w:sz="4" w:space="0" w:color="000000"/>
              <w:right w:val="single" w:sz="4" w:space="0" w:color="000000"/>
            </w:tcBorders>
            <w:vAlign w:val="center"/>
          </w:tcPr>
          <w:p w14:paraId="7316350B"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Serviço(s) Comum(</w:t>
            </w:r>
            <w:proofErr w:type="spellStart"/>
            <w:r>
              <w:rPr>
                <w:sz w:val="16"/>
                <w:szCs w:val="16"/>
              </w:rPr>
              <w:t>ns</w:t>
            </w:r>
            <w:proofErr w:type="spellEnd"/>
            <w:r>
              <w:rPr>
                <w:sz w:val="16"/>
                <w:szCs w:val="16"/>
              </w:rPr>
              <w:t>) de Engenharia</w:t>
            </w:r>
          </w:p>
        </w:tc>
        <w:tc>
          <w:tcPr>
            <w:tcW w:w="5156" w:type="dxa"/>
            <w:gridSpan w:val="2"/>
            <w:tcBorders>
              <w:top w:val="single" w:sz="4" w:space="0" w:color="000000"/>
              <w:left w:val="single" w:sz="4" w:space="0" w:color="000000"/>
              <w:bottom w:val="single" w:sz="4" w:space="0" w:color="000000"/>
              <w:right w:val="single" w:sz="4" w:space="0" w:color="000000"/>
            </w:tcBorders>
            <w:vAlign w:val="center"/>
          </w:tcPr>
          <w:p w14:paraId="35FDC93A"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Serviço(s) Especial(</w:t>
            </w:r>
            <w:proofErr w:type="spellStart"/>
            <w:r>
              <w:rPr>
                <w:sz w:val="16"/>
                <w:szCs w:val="16"/>
              </w:rPr>
              <w:t>is</w:t>
            </w:r>
            <w:proofErr w:type="spellEnd"/>
            <w:r>
              <w:rPr>
                <w:sz w:val="16"/>
                <w:szCs w:val="16"/>
              </w:rPr>
              <w:t>) de Engenharia</w:t>
            </w:r>
          </w:p>
        </w:tc>
      </w:tr>
    </w:tbl>
    <w:p w14:paraId="5DEA2685" w14:textId="77777777" w:rsidR="009D6A69" w:rsidRDefault="009D6A69"/>
    <w:tbl>
      <w:tblPr>
        <w:tblW w:w="10314" w:type="dxa"/>
        <w:tblLayout w:type="fixed"/>
        <w:tblLook w:val="04A0" w:firstRow="1" w:lastRow="0" w:firstColumn="1" w:lastColumn="0" w:noHBand="0" w:noVBand="1"/>
      </w:tblPr>
      <w:tblGrid>
        <w:gridCol w:w="1526"/>
        <w:gridCol w:w="4672"/>
        <w:gridCol w:w="3408"/>
        <w:gridCol w:w="708"/>
      </w:tblGrid>
      <w:tr w:rsidR="009D6A69" w14:paraId="4C7F60F0" w14:textId="77777777">
        <w:tc>
          <w:tcPr>
            <w:tcW w:w="10314" w:type="dxa"/>
            <w:gridSpan w:val="4"/>
            <w:tcBorders>
              <w:top w:val="single" w:sz="4" w:space="0" w:color="000000"/>
              <w:left w:val="single" w:sz="4" w:space="0" w:color="000000"/>
              <w:bottom w:val="single" w:sz="4" w:space="0" w:color="000000"/>
              <w:right w:val="single" w:sz="4" w:space="0" w:color="000000"/>
            </w:tcBorders>
            <w:vAlign w:val="center"/>
          </w:tcPr>
          <w:p w14:paraId="7AD4B061" w14:textId="77777777" w:rsidR="009D6A69" w:rsidRDefault="00693092">
            <w:pPr>
              <w:widowControl w:val="0"/>
              <w:ind w:firstLine="0"/>
              <w:jc w:val="center"/>
            </w:pPr>
            <w:r>
              <w:rPr>
                <w:b/>
                <w:bCs/>
                <w:szCs w:val="18"/>
              </w:rPr>
              <w:t>Catálogo Eletrônico de Padronização</w:t>
            </w:r>
          </w:p>
        </w:tc>
      </w:tr>
      <w:tr w:rsidR="009D6A69" w14:paraId="656FD15D" w14:textId="77777777" w:rsidTr="00670FD4">
        <w:trPr>
          <w:trHeight w:val="70"/>
        </w:trPr>
        <w:tc>
          <w:tcPr>
            <w:tcW w:w="1526" w:type="dxa"/>
            <w:tcBorders>
              <w:top w:val="single" w:sz="4" w:space="0" w:color="000000"/>
              <w:left w:val="single" w:sz="4" w:space="0" w:color="000000"/>
              <w:bottom w:val="single" w:sz="4" w:space="0" w:color="000000"/>
              <w:right w:val="single" w:sz="4" w:space="0" w:color="000000"/>
            </w:tcBorders>
            <w:vAlign w:val="center"/>
          </w:tcPr>
          <w:p w14:paraId="4DB6C003"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Não se aplica</w:t>
            </w:r>
          </w:p>
        </w:tc>
        <w:tc>
          <w:tcPr>
            <w:tcW w:w="4672" w:type="dxa"/>
            <w:tcBorders>
              <w:top w:val="single" w:sz="4" w:space="0" w:color="000000"/>
              <w:left w:val="single" w:sz="4" w:space="0" w:color="000000"/>
              <w:bottom w:val="single" w:sz="4" w:space="0" w:color="000000"/>
              <w:right w:val="single" w:sz="4" w:space="0" w:color="000000"/>
            </w:tcBorders>
            <w:vAlign w:val="center"/>
          </w:tcPr>
          <w:p w14:paraId="76F11159"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Sim, cfe. disponível no catálogo eletrônico de padronização</w:t>
            </w:r>
          </w:p>
        </w:tc>
        <w:tc>
          <w:tcPr>
            <w:tcW w:w="4116" w:type="dxa"/>
            <w:gridSpan w:val="2"/>
            <w:tcBorders>
              <w:top w:val="single" w:sz="4" w:space="0" w:color="000000"/>
              <w:left w:val="single" w:sz="4" w:space="0" w:color="000000"/>
              <w:bottom w:val="single" w:sz="4" w:space="0" w:color="000000"/>
              <w:right w:val="single" w:sz="4" w:space="0" w:color="000000"/>
            </w:tcBorders>
            <w:vAlign w:val="center"/>
          </w:tcPr>
          <w:p w14:paraId="19337081" w14:textId="77777777" w:rsidR="009D6A69" w:rsidRDefault="00693092">
            <w:pPr>
              <w:widowControl w:val="0"/>
              <w:ind w:firstLine="0"/>
              <w:rPr>
                <w:sz w:val="16"/>
                <w:szCs w:val="16"/>
              </w:rPr>
            </w:pPr>
            <w:proofErr w:type="gramStart"/>
            <w:r>
              <w:rPr>
                <w:sz w:val="16"/>
                <w:szCs w:val="16"/>
              </w:rPr>
              <w:t>( x</w:t>
            </w:r>
            <w:proofErr w:type="gramEnd"/>
            <w:r>
              <w:rPr>
                <w:sz w:val="16"/>
                <w:szCs w:val="16"/>
              </w:rPr>
              <w:t xml:space="preserve"> ) Não identificado(s) e/ou localizado(s) no catálogo</w:t>
            </w:r>
          </w:p>
        </w:tc>
      </w:tr>
      <w:tr w:rsidR="009D6A69" w14:paraId="6AA57105" w14:textId="77777777">
        <w:trPr>
          <w:trHeight w:val="137"/>
        </w:trPr>
        <w:tc>
          <w:tcPr>
            <w:tcW w:w="9606" w:type="dxa"/>
            <w:gridSpan w:val="3"/>
            <w:tcBorders>
              <w:top w:val="single" w:sz="4" w:space="0" w:color="000000"/>
              <w:left w:val="single" w:sz="4" w:space="0" w:color="000000"/>
            </w:tcBorders>
            <w:vAlign w:val="center"/>
          </w:tcPr>
          <w:p w14:paraId="0DBFC816" w14:textId="44161369" w:rsidR="009D6A69" w:rsidRDefault="00693092">
            <w:pPr>
              <w:widowControl w:val="0"/>
              <w:ind w:firstLine="0"/>
              <w:jc w:val="left"/>
            </w:pPr>
            <w:r>
              <w:rPr>
                <w:sz w:val="16"/>
                <w:szCs w:val="16"/>
              </w:rPr>
              <w:t>(</w:t>
            </w:r>
            <w:r w:rsidR="00670FD4">
              <w:rPr>
                <w:sz w:val="16"/>
                <w:szCs w:val="16"/>
              </w:rPr>
              <w:t>x</w:t>
            </w:r>
            <w:r>
              <w:rPr>
                <w:sz w:val="16"/>
                <w:szCs w:val="16"/>
              </w:rPr>
              <w:t xml:space="preserve">) </w:t>
            </w:r>
            <w:r>
              <w:rPr>
                <w:b/>
                <w:bCs/>
                <w:sz w:val="16"/>
                <w:szCs w:val="16"/>
              </w:rPr>
              <w:t>Descrever o motivo da não utilização do catálogo eletrônico de padronização</w:t>
            </w:r>
            <w:r>
              <w:rPr>
                <w:sz w:val="16"/>
                <w:szCs w:val="16"/>
              </w:rPr>
              <w:t>, cfe. §2º do Art. 19 da Lei 14.133/21:</w:t>
            </w:r>
          </w:p>
        </w:tc>
        <w:tc>
          <w:tcPr>
            <w:tcW w:w="708" w:type="dxa"/>
            <w:tcBorders>
              <w:top w:val="single" w:sz="4" w:space="0" w:color="000000"/>
              <w:right w:val="single" w:sz="4" w:space="0" w:color="000000"/>
            </w:tcBorders>
            <w:vAlign w:val="center"/>
          </w:tcPr>
          <w:p w14:paraId="116BABAB" w14:textId="77777777" w:rsidR="009D6A69" w:rsidRDefault="009D6A69">
            <w:pPr>
              <w:widowControl w:val="0"/>
              <w:ind w:firstLine="0"/>
              <w:jc w:val="left"/>
              <w:rPr>
                <w:sz w:val="16"/>
                <w:szCs w:val="16"/>
              </w:rPr>
            </w:pPr>
          </w:p>
        </w:tc>
      </w:tr>
      <w:tr w:rsidR="009D6A69" w14:paraId="28B6CC4D" w14:textId="77777777" w:rsidTr="00CC75F6">
        <w:trPr>
          <w:trHeight w:val="80"/>
        </w:trPr>
        <w:tc>
          <w:tcPr>
            <w:tcW w:w="10314" w:type="dxa"/>
            <w:gridSpan w:val="4"/>
            <w:tcBorders>
              <w:left w:val="single" w:sz="4" w:space="0" w:color="000000"/>
              <w:bottom w:val="single" w:sz="4" w:space="0" w:color="000000"/>
              <w:right w:val="single" w:sz="4" w:space="0" w:color="000000"/>
            </w:tcBorders>
          </w:tcPr>
          <w:p w14:paraId="67EDCBF8" w14:textId="77777777" w:rsidR="009D6A69" w:rsidRDefault="00693092">
            <w:pPr>
              <w:widowControl w:val="0"/>
              <w:ind w:firstLine="0"/>
              <w:rPr>
                <w:sz w:val="16"/>
                <w:szCs w:val="16"/>
              </w:rPr>
            </w:pPr>
            <w:r>
              <w:rPr>
                <w:sz w:val="16"/>
                <w:szCs w:val="16"/>
              </w:rPr>
              <w:t>Não foi localizado no catálogo eletrônico de padronização o respectivo item com todas especificações.</w:t>
            </w:r>
          </w:p>
        </w:tc>
      </w:tr>
    </w:tbl>
    <w:p w14:paraId="07C86C56" w14:textId="77777777" w:rsidR="009D6A69" w:rsidRDefault="009D6A69"/>
    <w:tbl>
      <w:tblPr>
        <w:tblW w:w="10314" w:type="dxa"/>
        <w:tblLayout w:type="fixed"/>
        <w:tblLook w:val="04A0" w:firstRow="1" w:lastRow="0" w:firstColumn="1" w:lastColumn="0" w:noHBand="0" w:noVBand="1"/>
      </w:tblPr>
      <w:tblGrid>
        <w:gridCol w:w="478"/>
        <w:gridCol w:w="5868"/>
        <w:gridCol w:w="595"/>
        <w:gridCol w:w="567"/>
        <w:gridCol w:w="1418"/>
        <w:gridCol w:w="1388"/>
      </w:tblGrid>
      <w:tr w:rsidR="009D6A69" w14:paraId="6549EB9D" w14:textId="77777777" w:rsidTr="00CC75F6">
        <w:tc>
          <w:tcPr>
            <w:tcW w:w="10314" w:type="dxa"/>
            <w:gridSpan w:val="6"/>
            <w:tcBorders>
              <w:top w:val="single" w:sz="4" w:space="0" w:color="000000"/>
              <w:left w:val="single" w:sz="4" w:space="0" w:color="000000"/>
              <w:bottom w:val="single" w:sz="4" w:space="0" w:color="000000"/>
              <w:right w:val="single" w:sz="4" w:space="0" w:color="000000"/>
            </w:tcBorders>
            <w:vAlign w:val="center"/>
          </w:tcPr>
          <w:p w14:paraId="2EF0C1DC" w14:textId="77777777" w:rsidR="009D6A69" w:rsidRDefault="00693092">
            <w:pPr>
              <w:widowControl w:val="0"/>
              <w:ind w:firstLine="0"/>
              <w:jc w:val="center"/>
              <w:rPr>
                <w:b/>
                <w:bCs/>
                <w:szCs w:val="18"/>
              </w:rPr>
            </w:pPr>
            <w:r>
              <w:rPr>
                <w:b/>
                <w:bCs/>
                <w:szCs w:val="18"/>
              </w:rPr>
              <w:t>Itens</w:t>
            </w:r>
          </w:p>
        </w:tc>
      </w:tr>
      <w:tr w:rsidR="009D6A69" w14:paraId="33E5DB65" w14:textId="77777777" w:rsidTr="00CC75F6">
        <w:tc>
          <w:tcPr>
            <w:tcW w:w="478" w:type="dxa"/>
            <w:tcBorders>
              <w:top w:val="single" w:sz="4" w:space="0" w:color="000000"/>
              <w:left w:val="single" w:sz="4" w:space="0" w:color="000000"/>
              <w:bottom w:val="single" w:sz="4" w:space="0" w:color="000000"/>
              <w:right w:val="single" w:sz="4" w:space="0" w:color="000000"/>
            </w:tcBorders>
            <w:vAlign w:val="center"/>
          </w:tcPr>
          <w:p w14:paraId="5FE0C5F1" w14:textId="77777777" w:rsidR="009D6A69" w:rsidRDefault="00693092">
            <w:pPr>
              <w:widowControl w:val="0"/>
              <w:ind w:firstLine="0"/>
              <w:jc w:val="center"/>
              <w:rPr>
                <w:b/>
                <w:bCs/>
                <w:sz w:val="16"/>
                <w:szCs w:val="16"/>
              </w:rPr>
            </w:pPr>
            <w:r>
              <w:rPr>
                <w:b/>
                <w:bCs/>
                <w:sz w:val="16"/>
                <w:szCs w:val="16"/>
              </w:rPr>
              <w:t>Nº</w:t>
            </w:r>
          </w:p>
        </w:tc>
        <w:tc>
          <w:tcPr>
            <w:tcW w:w="5868" w:type="dxa"/>
            <w:tcBorders>
              <w:top w:val="single" w:sz="4" w:space="0" w:color="000000"/>
              <w:left w:val="single" w:sz="4" w:space="0" w:color="000000"/>
              <w:bottom w:val="single" w:sz="4" w:space="0" w:color="000000"/>
              <w:right w:val="single" w:sz="4" w:space="0" w:color="000000"/>
            </w:tcBorders>
            <w:vAlign w:val="center"/>
          </w:tcPr>
          <w:p w14:paraId="4D169B92" w14:textId="77777777" w:rsidR="009D6A69" w:rsidRDefault="00693092">
            <w:pPr>
              <w:widowControl w:val="0"/>
              <w:ind w:firstLine="0"/>
              <w:jc w:val="center"/>
              <w:rPr>
                <w:b/>
                <w:bCs/>
                <w:sz w:val="16"/>
                <w:szCs w:val="16"/>
              </w:rPr>
            </w:pPr>
            <w:r>
              <w:rPr>
                <w:b/>
                <w:bCs/>
                <w:sz w:val="16"/>
                <w:szCs w:val="16"/>
              </w:rPr>
              <w:t>Descrição do Item</w:t>
            </w:r>
          </w:p>
        </w:tc>
        <w:tc>
          <w:tcPr>
            <w:tcW w:w="595" w:type="dxa"/>
            <w:tcBorders>
              <w:top w:val="single" w:sz="4" w:space="0" w:color="000000"/>
              <w:left w:val="single" w:sz="4" w:space="0" w:color="000000"/>
              <w:bottom w:val="single" w:sz="4" w:space="0" w:color="000000"/>
              <w:right w:val="single" w:sz="4" w:space="0" w:color="000000"/>
            </w:tcBorders>
            <w:vAlign w:val="center"/>
          </w:tcPr>
          <w:p w14:paraId="775B14E4" w14:textId="77777777" w:rsidR="009D6A69" w:rsidRDefault="00693092">
            <w:pPr>
              <w:widowControl w:val="0"/>
              <w:ind w:firstLine="0"/>
              <w:jc w:val="center"/>
              <w:rPr>
                <w:b/>
                <w:bCs/>
                <w:sz w:val="16"/>
                <w:szCs w:val="16"/>
              </w:rPr>
            </w:pPr>
            <w:r>
              <w:rPr>
                <w:b/>
                <w:bCs/>
                <w:sz w:val="16"/>
                <w:szCs w:val="16"/>
              </w:rPr>
              <w:t>Qtd.</w:t>
            </w:r>
          </w:p>
        </w:tc>
        <w:tc>
          <w:tcPr>
            <w:tcW w:w="567" w:type="dxa"/>
            <w:tcBorders>
              <w:top w:val="single" w:sz="4" w:space="0" w:color="000000"/>
              <w:left w:val="single" w:sz="4" w:space="0" w:color="000000"/>
              <w:bottom w:val="single" w:sz="4" w:space="0" w:color="000000"/>
              <w:right w:val="single" w:sz="4" w:space="0" w:color="000000"/>
            </w:tcBorders>
            <w:vAlign w:val="center"/>
          </w:tcPr>
          <w:p w14:paraId="7C3D5B65" w14:textId="77777777" w:rsidR="009D6A69" w:rsidRDefault="00693092">
            <w:pPr>
              <w:widowControl w:val="0"/>
              <w:ind w:firstLine="0"/>
              <w:jc w:val="center"/>
              <w:rPr>
                <w:b/>
                <w:bCs/>
                <w:sz w:val="16"/>
                <w:szCs w:val="16"/>
              </w:rPr>
            </w:pPr>
            <w:r>
              <w:rPr>
                <w:b/>
                <w:bCs/>
                <w:sz w:val="16"/>
                <w:szCs w:val="16"/>
              </w:rPr>
              <w:t>Un</w:t>
            </w:r>
          </w:p>
        </w:tc>
        <w:tc>
          <w:tcPr>
            <w:tcW w:w="1418" w:type="dxa"/>
            <w:tcBorders>
              <w:top w:val="single" w:sz="4" w:space="0" w:color="000000"/>
              <w:left w:val="single" w:sz="4" w:space="0" w:color="000000"/>
              <w:bottom w:val="single" w:sz="4" w:space="0" w:color="000000"/>
              <w:right w:val="single" w:sz="4" w:space="0" w:color="000000"/>
            </w:tcBorders>
            <w:vAlign w:val="center"/>
          </w:tcPr>
          <w:p w14:paraId="58E83989" w14:textId="77777777" w:rsidR="009D6A69" w:rsidRDefault="00693092">
            <w:pPr>
              <w:widowControl w:val="0"/>
              <w:ind w:firstLine="0"/>
              <w:jc w:val="center"/>
              <w:rPr>
                <w:b/>
                <w:bCs/>
                <w:sz w:val="16"/>
                <w:szCs w:val="16"/>
              </w:rPr>
            </w:pPr>
            <w:r>
              <w:rPr>
                <w:b/>
                <w:bCs/>
                <w:sz w:val="16"/>
                <w:szCs w:val="16"/>
              </w:rPr>
              <w:t>Preço Unit.</w:t>
            </w:r>
          </w:p>
        </w:tc>
        <w:tc>
          <w:tcPr>
            <w:tcW w:w="1388" w:type="dxa"/>
            <w:tcBorders>
              <w:top w:val="single" w:sz="4" w:space="0" w:color="000000"/>
              <w:left w:val="single" w:sz="4" w:space="0" w:color="000000"/>
              <w:bottom w:val="single" w:sz="4" w:space="0" w:color="000000"/>
              <w:right w:val="single" w:sz="4" w:space="0" w:color="000000"/>
            </w:tcBorders>
            <w:vAlign w:val="center"/>
          </w:tcPr>
          <w:p w14:paraId="5FF422BF" w14:textId="77777777" w:rsidR="009D6A69" w:rsidRDefault="00693092">
            <w:pPr>
              <w:widowControl w:val="0"/>
              <w:ind w:firstLine="0"/>
              <w:jc w:val="center"/>
              <w:rPr>
                <w:b/>
                <w:bCs/>
                <w:sz w:val="16"/>
                <w:szCs w:val="16"/>
              </w:rPr>
            </w:pPr>
            <w:r>
              <w:rPr>
                <w:b/>
                <w:bCs/>
                <w:sz w:val="16"/>
                <w:szCs w:val="16"/>
              </w:rPr>
              <w:t>Preço Total</w:t>
            </w:r>
          </w:p>
        </w:tc>
      </w:tr>
      <w:tr w:rsidR="009D6A69" w14:paraId="67F257FC" w14:textId="77777777" w:rsidTr="00670FD4">
        <w:trPr>
          <w:trHeight w:val="1641"/>
        </w:trPr>
        <w:tc>
          <w:tcPr>
            <w:tcW w:w="478" w:type="dxa"/>
            <w:tcBorders>
              <w:top w:val="single" w:sz="4" w:space="0" w:color="000000"/>
              <w:left w:val="single" w:sz="4" w:space="0" w:color="000000"/>
              <w:bottom w:val="single" w:sz="4" w:space="0" w:color="000000"/>
              <w:right w:val="single" w:sz="4" w:space="0" w:color="000000"/>
            </w:tcBorders>
            <w:vAlign w:val="center"/>
          </w:tcPr>
          <w:p w14:paraId="141E7BA6" w14:textId="77777777" w:rsidR="009D6A69" w:rsidRPr="00CC75F6" w:rsidRDefault="00693092">
            <w:pPr>
              <w:widowControl w:val="0"/>
              <w:ind w:firstLine="0"/>
              <w:jc w:val="center"/>
              <w:rPr>
                <w:sz w:val="16"/>
                <w:szCs w:val="16"/>
              </w:rPr>
            </w:pPr>
            <w:r w:rsidRPr="00CC75F6">
              <w:rPr>
                <w:sz w:val="16"/>
                <w:szCs w:val="16"/>
              </w:rPr>
              <w:t>1</w:t>
            </w:r>
          </w:p>
        </w:tc>
        <w:tc>
          <w:tcPr>
            <w:tcW w:w="5868" w:type="dxa"/>
            <w:tcBorders>
              <w:top w:val="single" w:sz="4" w:space="0" w:color="000000"/>
              <w:left w:val="single" w:sz="4" w:space="0" w:color="000000"/>
              <w:bottom w:val="single" w:sz="4" w:space="0" w:color="000000"/>
              <w:right w:val="single" w:sz="4" w:space="0" w:color="000000"/>
            </w:tcBorders>
            <w:vAlign w:val="center"/>
          </w:tcPr>
          <w:p w14:paraId="707A4D7E" w14:textId="7D4035BD" w:rsidR="009D6A69" w:rsidRPr="00CC75F6" w:rsidRDefault="00693092" w:rsidP="00CC75F6">
            <w:pPr>
              <w:pStyle w:val="Contedodatabela"/>
              <w:widowControl w:val="0"/>
              <w:spacing w:after="0"/>
              <w:ind w:firstLine="0"/>
              <w:rPr>
                <w:sz w:val="16"/>
                <w:szCs w:val="16"/>
              </w:rPr>
            </w:pPr>
            <w:r w:rsidRPr="00CC75F6">
              <w:rPr>
                <w:color w:val="000000"/>
                <w:sz w:val="16"/>
                <w:szCs w:val="16"/>
                <w:lang w:eastAsia="pt-BR"/>
              </w:rPr>
              <w:t xml:space="preserve">Contratação de empresa para prestação dos serviços de equipe de arbitragem, conforme Lei Municipal n.º 2.659/2025 que altera dispositivos da Lei Municipal 2497/2023, para o Campeonato Municipal de Futsal 2025, que poderá ter até seis categorias (Sub13, Sub17, feminino, master, veterano e livre). Início do campeonato previsto para </w:t>
            </w:r>
            <w:r w:rsidR="00670FD4">
              <w:rPr>
                <w:color w:val="000000"/>
                <w:sz w:val="16"/>
                <w:szCs w:val="16"/>
                <w:lang w:eastAsia="pt-BR"/>
              </w:rPr>
              <w:t xml:space="preserve">o </w:t>
            </w:r>
            <w:r w:rsidRPr="00CC75F6">
              <w:rPr>
                <w:color w:val="000000"/>
                <w:sz w:val="16"/>
                <w:szCs w:val="16"/>
                <w:lang w:eastAsia="pt-BR"/>
              </w:rPr>
              <w:t xml:space="preserve">mês de </w:t>
            </w:r>
            <w:r w:rsidR="00670FD4" w:rsidRPr="00CC75F6">
              <w:rPr>
                <w:color w:val="000000"/>
                <w:sz w:val="16"/>
                <w:szCs w:val="16"/>
                <w:lang w:eastAsia="pt-BR"/>
              </w:rPr>
              <w:t>julho</w:t>
            </w:r>
            <w:r w:rsidRPr="00CC75F6">
              <w:rPr>
                <w:color w:val="000000"/>
                <w:sz w:val="16"/>
                <w:szCs w:val="16"/>
                <w:lang w:eastAsia="pt-BR"/>
              </w:rPr>
              <w:t>/202</w:t>
            </w:r>
            <w:r w:rsidR="00670FD4">
              <w:rPr>
                <w:color w:val="000000"/>
                <w:sz w:val="16"/>
                <w:szCs w:val="16"/>
                <w:lang w:eastAsia="pt-BR"/>
              </w:rPr>
              <w:t>5</w:t>
            </w:r>
            <w:r w:rsidRPr="00CC75F6">
              <w:rPr>
                <w:color w:val="000000"/>
                <w:sz w:val="16"/>
                <w:szCs w:val="16"/>
                <w:lang w:eastAsia="pt-BR"/>
              </w:rPr>
              <w:t xml:space="preserve">. </w:t>
            </w:r>
            <w:r w:rsidR="00670FD4">
              <w:rPr>
                <w:color w:val="000000"/>
                <w:sz w:val="16"/>
                <w:szCs w:val="16"/>
                <w:lang w:eastAsia="pt-BR"/>
              </w:rPr>
              <w:t xml:space="preserve">Estimativa de até 18 (dezoito) rodadas, incluindo três árbitros e um mesário por rodada, além de um segurança por jogo na fase classificatória. Na final, serão três árbitros, um mesário e dois seguranças. </w:t>
            </w:r>
          </w:p>
        </w:tc>
        <w:tc>
          <w:tcPr>
            <w:tcW w:w="595" w:type="dxa"/>
            <w:tcBorders>
              <w:top w:val="single" w:sz="4" w:space="0" w:color="000000"/>
              <w:left w:val="single" w:sz="4" w:space="0" w:color="000000"/>
              <w:bottom w:val="single" w:sz="4" w:space="0" w:color="000000"/>
              <w:right w:val="single" w:sz="4" w:space="0" w:color="000000"/>
            </w:tcBorders>
            <w:vAlign w:val="center"/>
          </w:tcPr>
          <w:p w14:paraId="1EFBD1D6" w14:textId="38685159" w:rsidR="009D6A69" w:rsidRDefault="00693092">
            <w:pPr>
              <w:widowControl w:val="0"/>
              <w:ind w:firstLine="0"/>
              <w:jc w:val="center"/>
              <w:rPr>
                <w:sz w:val="16"/>
                <w:szCs w:val="16"/>
              </w:rPr>
            </w:pPr>
            <w:r>
              <w:rPr>
                <w:sz w:val="16"/>
                <w:szCs w:val="16"/>
              </w:rPr>
              <w:t>1</w:t>
            </w:r>
            <w:r w:rsidR="00670FD4">
              <w:rPr>
                <w:sz w:val="16"/>
                <w:szCs w:val="16"/>
              </w:rPr>
              <w:t>8</w:t>
            </w:r>
          </w:p>
        </w:tc>
        <w:tc>
          <w:tcPr>
            <w:tcW w:w="567" w:type="dxa"/>
            <w:tcBorders>
              <w:top w:val="single" w:sz="4" w:space="0" w:color="000000"/>
              <w:left w:val="single" w:sz="4" w:space="0" w:color="000000"/>
              <w:bottom w:val="single" w:sz="4" w:space="0" w:color="000000"/>
              <w:right w:val="single" w:sz="4" w:space="0" w:color="000000"/>
            </w:tcBorders>
            <w:vAlign w:val="center"/>
          </w:tcPr>
          <w:p w14:paraId="3DADCA58" w14:textId="77777777" w:rsidR="009D6A69" w:rsidRDefault="00693092">
            <w:pPr>
              <w:widowControl w:val="0"/>
              <w:ind w:firstLine="0"/>
              <w:jc w:val="center"/>
              <w:rPr>
                <w:sz w:val="16"/>
                <w:szCs w:val="16"/>
              </w:rPr>
            </w:pPr>
            <w:r>
              <w:rPr>
                <w:sz w:val="16"/>
                <w:szCs w:val="16"/>
              </w:rPr>
              <w:t>un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38765F" w14:textId="17028029" w:rsidR="009D6A69" w:rsidRDefault="00693092" w:rsidP="00670FD4">
            <w:pPr>
              <w:widowControl w:val="0"/>
              <w:ind w:firstLine="0"/>
              <w:jc w:val="center"/>
            </w:pPr>
            <w:r>
              <w:rPr>
                <w:sz w:val="16"/>
                <w:szCs w:val="16"/>
              </w:rPr>
              <w:t xml:space="preserve">R$ </w:t>
            </w:r>
            <w:r w:rsidR="00670FD4">
              <w:rPr>
                <w:sz w:val="16"/>
                <w:szCs w:val="16"/>
              </w:rPr>
              <w:t>1.290,00</w:t>
            </w:r>
          </w:p>
        </w:tc>
        <w:tc>
          <w:tcPr>
            <w:tcW w:w="1388" w:type="dxa"/>
            <w:tcBorders>
              <w:top w:val="single" w:sz="4" w:space="0" w:color="000000"/>
              <w:left w:val="single" w:sz="4" w:space="0" w:color="000000"/>
              <w:bottom w:val="single" w:sz="4" w:space="0" w:color="000000"/>
              <w:right w:val="single" w:sz="4" w:space="0" w:color="000000"/>
            </w:tcBorders>
            <w:vAlign w:val="center"/>
          </w:tcPr>
          <w:p w14:paraId="442203A3" w14:textId="0CB04061" w:rsidR="009D6A69" w:rsidRDefault="00693092" w:rsidP="00670FD4">
            <w:pPr>
              <w:widowControl w:val="0"/>
              <w:ind w:firstLine="0"/>
              <w:jc w:val="center"/>
            </w:pPr>
            <w:r>
              <w:rPr>
                <w:sz w:val="16"/>
                <w:szCs w:val="16"/>
              </w:rPr>
              <w:t>R$</w:t>
            </w:r>
            <w:r w:rsidR="00670FD4">
              <w:rPr>
                <w:sz w:val="16"/>
                <w:szCs w:val="16"/>
              </w:rPr>
              <w:t xml:space="preserve"> 23.220,00</w:t>
            </w:r>
          </w:p>
        </w:tc>
      </w:tr>
      <w:tr w:rsidR="009D6A69" w14:paraId="59C8A173" w14:textId="77777777" w:rsidTr="00CC75F6">
        <w:trPr>
          <w:trHeight w:val="238"/>
        </w:trPr>
        <w:tc>
          <w:tcPr>
            <w:tcW w:w="8926" w:type="dxa"/>
            <w:gridSpan w:val="5"/>
            <w:tcBorders>
              <w:top w:val="single" w:sz="18" w:space="0" w:color="000000"/>
              <w:left w:val="single" w:sz="4" w:space="0" w:color="000000"/>
              <w:bottom w:val="single" w:sz="4" w:space="0" w:color="000000"/>
              <w:right w:val="single" w:sz="4" w:space="0" w:color="000000"/>
            </w:tcBorders>
            <w:vAlign w:val="center"/>
          </w:tcPr>
          <w:p w14:paraId="57263B3B" w14:textId="77777777" w:rsidR="009D6A69" w:rsidRDefault="00693092">
            <w:pPr>
              <w:widowControl w:val="0"/>
              <w:ind w:firstLine="0"/>
              <w:jc w:val="right"/>
              <w:rPr>
                <w:b/>
                <w:bCs/>
                <w:sz w:val="16"/>
                <w:szCs w:val="16"/>
              </w:rPr>
            </w:pPr>
            <w:r>
              <w:rPr>
                <w:b/>
                <w:bCs/>
                <w:sz w:val="16"/>
                <w:szCs w:val="16"/>
              </w:rPr>
              <w:t>Valor Total Estimado:</w:t>
            </w:r>
          </w:p>
        </w:tc>
        <w:tc>
          <w:tcPr>
            <w:tcW w:w="1388" w:type="dxa"/>
            <w:tcBorders>
              <w:top w:val="single" w:sz="18" w:space="0" w:color="000000"/>
              <w:left w:val="single" w:sz="4" w:space="0" w:color="000000"/>
              <w:bottom w:val="single" w:sz="4" w:space="0" w:color="000000"/>
              <w:right w:val="single" w:sz="4" w:space="0" w:color="000000"/>
            </w:tcBorders>
            <w:vAlign w:val="center"/>
          </w:tcPr>
          <w:p w14:paraId="70BB3AB8" w14:textId="23A1B565" w:rsidR="009D6A69" w:rsidRDefault="00693092" w:rsidP="00CC75F6">
            <w:pPr>
              <w:widowControl w:val="0"/>
              <w:ind w:firstLine="0"/>
              <w:jc w:val="left"/>
            </w:pPr>
            <w:r>
              <w:rPr>
                <w:b/>
                <w:bCs/>
                <w:sz w:val="16"/>
                <w:szCs w:val="16"/>
              </w:rPr>
              <w:t xml:space="preserve">R$ </w:t>
            </w:r>
            <w:r w:rsidR="00670FD4">
              <w:rPr>
                <w:b/>
                <w:bCs/>
                <w:sz w:val="16"/>
                <w:szCs w:val="16"/>
              </w:rPr>
              <w:t>23.220,00</w:t>
            </w:r>
          </w:p>
        </w:tc>
      </w:tr>
    </w:tbl>
    <w:p w14:paraId="00E69551" w14:textId="77777777" w:rsidR="009D6A69" w:rsidRDefault="009D6A69"/>
    <w:tbl>
      <w:tblPr>
        <w:tblW w:w="10315" w:type="dxa"/>
        <w:tblLayout w:type="fixed"/>
        <w:tblLook w:val="04A0" w:firstRow="1" w:lastRow="0" w:firstColumn="1" w:lastColumn="0" w:noHBand="0" w:noVBand="1"/>
      </w:tblPr>
      <w:tblGrid>
        <w:gridCol w:w="1100"/>
        <w:gridCol w:w="285"/>
        <w:gridCol w:w="140"/>
        <w:gridCol w:w="138"/>
        <w:gridCol w:w="287"/>
        <w:gridCol w:w="138"/>
        <w:gridCol w:w="1026"/>
        <w:gridCol w:w="7201"/>
      </w:tblGrid>
      <w:tr w:rsidR="009D6A69" w14:paraId="40E534FE" w14:textId="77777777" w:rsidTr="00CC75F6">
        <w:tc>
          <w:tcPr>
            <w:tcW w:w="10315" w:type="dxa"/>
            <w:gridSpan w:val="8"/>
            <w:tcBorders>
              <w:top w:val="single" w:sz="4" w:space="0" w:color="000000"/>
              <w:left w:val="single" w:sz="4" w:space="0" w:color="000000"/>
              <w:bottom w:val="single" w:sz="4" w:space="0" w:color="000000"/>
              <w:right w:val="single" w:sz="4" w:space="0" w:color="000000"/>
            </w:tcBorders>
            <w:vAlign w:val="center"/>
          </w:tcPr>
          <w:p w14:paraId="28FB046B" w14:textId="77777777" w:rsidR="009D6A69" w:rsidRDefault="00693092">
            <w:pPr>
              <w:widowControl w:val="0"/>
              <w:ind w:firstLine="0"/>
              <w:jc w:val="center"/>
              <w:rPr>
                <w:b/>
                <w:bCs/>
                <w:szCs w:val="18"/>
              </w:rPr>
            </w:pPr>
            <w:r>
              <w:rPr>
                <w:b/>
                <w:bCs/>
                <w:szCs w:val="18"/>
              </w:rPr>
              <w:t xml:space="preserve">Condições de Entrega(s) </w:t>
            </w:r>
          </w:p>
        </w:tc>
      </w:tr>
      <w:tr w:rsidR="009D6A69" w14:paraId="197A3032" w14:textId="77777777" w:rsidTr="00CC75F6">
        <w:tc>
          <w:tcPr>
            <w:tcW w:w="1525" w:type="dxa"/>
            <w:gridSpan w:val="3"/>
            <w:tcBorders>
              <w:top w:val="single" w:sz="4" w:space="0" w:color="000000"/>
              <w:left w:val="single" w:sz="4" w:space="0" w:color="000000"/>
              <w:bottom w:val="single" w:sz="4" w:space="0" w:color="000000"/>
              <w:right w:val="single" w:sz="4" w:space="0" w:color="000000"/>
            </w:tcBorders>
            <w:vAlign w:val="center"/>
          </w:tcPr>
          <w:p w14:paraId="342EDB7D" w14:textId="77777777" w:rsidR="009D6A69" w:rsidRDefault="00693092">
            <w:pPr>
              <w:widowControl w:val="0"/>
              <w:ind w:firstLine="0"/>
              <w:jc w:val="center"/>
              <w:rPr>
                <w:sz w:val="16"/>
                <w:szCs w:val="16"/>
              </w:rPr>
            </w:pPr>
            <w:r>
              <w:rPr>
                <w:sz w:val="16"/>
                <w:szCs w:val="16"/>
              </w:rPr>
              <w:t>Prazo de Entrega:</w:t>
            </w:r>
          </w:p>
        </w:tc>
        <w:tc>
          <w:tcPr>
            <w:tcW w:w="8790" w:type="dxa"/>
            <w:gridSpan w:val="5"/>
            <w:tcBorders>
              <w:top w:val="single" w:sz="4" w:space="0" w:color="000000"/>
              <w:left w:val="single" w:sz="4" w:space="0" w:color="000000"/>
              <w:bottom w:val="single" w:sz="4" w:space="0" w:color="000000"/>
              <w:right w:val="single" w:sz="4" w:space="0" w:color="000000"/>
            </w:tcBorders>
            <w:vAlign w:val="center"/>
          </w:tcPr>
          <w:p w14:paraId="04A71917" w14:textId="11DD1017" w:rsidR="009D6A69" w:rsidRDefault="00693092">
            <w:pPr>
              <w:widowControl w:val="0"/>
              <w:ind w:firstLine="0"/>
            </w:pPr>
            <w:r>
              <w:rPr>
                <w:b/>
                <w:bCs/>
                <w:color w:val="000000"/>
                <w:sz w:val="16"/>
                <w:szCs w:val="16"/>
              </w:rPr>
              <w:t xml:space="preserve">Um dia </w:t>
            </w:r>
            <w:r>
              <w:rPr>
                <w:color w:val="000000"/>
                <w:sz w:val="16"/>
                <w:szCs w:val="16"/>
              </w:rPr>
              <w:t xml:space="preserve">a </w:t>
            </w:r>
            <w:r>
              <w:rPr>
                <w:sz w:val="16"/>
                <w:szCs w:val="16"/>
              </w:rPr>
              <w:t>contar da autorização de compra e/ou ordem de execução de serviço, nota de empenho de despesa, ou emissão de outro instrumento hábil equivalente.</w:t>
            </w:r>
          </w:p>
        </w:tc>
      </w:tr>
      <w:tr w:rsidR="009D6A69" w14:paraId="78C14D0A" w14:textId="77777777" w:rsidTr="00670FD4">
        <w:trPr>
          <w:trHeight w:val="339"/>
        </w:trPr>
        <w:tc>
          <w:tcPr>
            <w:tcW w:w="2088" w:type="dxa"/>
            <w:gridSpan w:val="6"/>
            <w:tcBorders>
              <w:top w:val="single" w:sz="4" w:space="0" w:color="000000"/>
              <w:left w:val="single" w:sz="4" w:space="0" w:color="000000"/>
              <w:bottom w:val="single" w:sz="4" w:space="0" w:color="000000"/>
              <w:right w:val="single" w:sz="4" w:space="0" w:color="000000"/>
            </w:tcBorders>
            <w:vAlign w:val="center"/>
          </w:tcPr>
          <w:p w14:paraId="7F97A169" w14:textId="77777777" w:rsidR="009D6A69" w:rsidRDefault="00693092">
            <w:pPr>
              <w:widowControl w:val="0"/>
              <w:ind w:firstLine="0"/>
              <w:jc w:val="center"/>
              <w:rPr>
                <w:sz w:val="16"/>
                <w:szCs w:val="16"/>
              </w:rPr>
            </w:pPr>
            <w:r>
              <w:rPr>
                <w:sz w:val="16"/>
                <w:szCs w:val="16"/>
              </w:rPr>
              <w:t>Horário(s) de entrega(s):</w:t>
            </w:r>
          </w:p>
        </w:tc>
        <w:tc>
          <w:tcPr>
            <w:tcW w:w="8227" w:type="dxa"/>
            <w:gridSpan w:val="2"/>
            <w:tcBorders>
              <w:top w:val="single" w:sz="4" w:space="0" w:color="000000"/>
              <w:left w:val="single" w:sz="4" w:space="0" w:color="000000"/>
              <w:bottom w:val="single" w:sz="4" w:space="0" w:color="000000"/>
              <w:right w:val="single" w:sz="4" w:space="0" w:color="000000"/>
            </w:tcBorders>
            <w:vAlign w:val="center"/>
          </w:tcPr>
          <w:p w14:paraId="771842A3" w14:textId="7AD9486D" w:rsidR="009D6A69" w:rsidRDefault="00693092">
            <w:pPr>
              <w:widowControl w:val="0"/>
              <w:ind w:firstLine="0"/>
            </w:pPr>
            <w:r>
              <w:rPr>
                <w:sz w:val="16"/>
                <w:szCs w:val="16"/>
              </w:rPr>
              <w:t>Nas terças e sextas feiras, das 19</w:t>
            </w:r>
            <w:r w:rsidR="00670FD4">
              <w:rPr>
                <w:sz w:val="16"/>
                <w:szCs w:val="16"/>
              </w:rPr>
              <w:t>h</w:t>
            </w:r>
            <w:r>
              <w:rPr>
                <w:sz w:val="16"/>
                <w:szCs w:val="16"/>
              </w:rPr>
              <w:t xml:space="preserve"> </w:t>
            </w:r>
            <w:r w:rsidR="00670FD4">
              <w:rPr>
                <w:sz w:val="16"/>
                <w:szCs w:val="16"/>
              </w:rPr>
              <w:t>às</w:t>
            </w:r>
            <w:r>
              <w:rPr>
                <w:sz w:val="16"/>
                <w:szCs w:val="16"/>
              </w:rPr>
              <w:t xml:space="preserve"> 23</w:t>
            </w:r>
            <w:r w:rsidR="00670FD4">
              <w:rPr>
                <w:sz w:val="16"/>
                <w:szCs w:val="16"/>
              </w:rPr>
              <w:t xml:space="preserve">h, </w:t>
            </w:r>
            <w:r w:rsidR="00CC75F6">
              <w:rPr>
                <w:sz w:val="16"/>
                <w:szCs w:val="16"/>
              </w:rPr>
              <w:t>aproximadamente.</w:t>
            </w:r>
          </w:p>
        </w:tc>
      </w:tr>
      <w:tr w:rsidR="009D6A69" w14:paraId="41D6DB29" w14:textId="77777777" w:rsidTr="00CC75F6">
        <w:tc>
          <w:tcPr>
            <w:tcW w:w="1100" w:type="dxa"/>
            <w:vMerge w:val="restart"/>
            <w:tcBorders>
              <w:top w:val="single" w:sz="4" w:space="0" w:color="000000"/>
              <w:left w:val="single" w:sz="4" w:space="0" w:color="000000"/>
              <w:bottom w:val="single" w:sz="4" w:space="0" w:color="000000"/>
              <w:right w:val="single" w:sz="4" w:space="0" w:color="000000"/>
            </w:tcBorders>
            <w:vAlign w:val="center"/>
          </w:tcPr>
          <w:p w14:paraId="2AB57324" w14:textId="77777777" w:rsidR="009D6A69" w:rsidRDefault="00693092">
            <w:pPr>
              <w:widowControl w:val="0"/>
              <w:ind w:firstLine="0"/>
              <w:jc w:val="center"/>
              <w:rPr>
                <w:sz w:val="16"/>
                <w:szCs w:val="16"/>
              </w:rPr>
            </w:pPr>
            <w:r>
              <w:rPr>
                <w:sz w:val="16"/>
                <w:szCs w:val="16"/>
              </w:rPr>
              <w:t>Local(</w:t>
            </w:r>
            <w:proofErr w:type="spellStart"/>
            <w:r>
              <w:rPr>
                <w:sz w:val="16"/>
                <w:szCs w:val="16"/>
              </w:rPr>
              <w:t>is</w:t>
            </w:r>
            <w:proofErr w:type="spellEnd"/>
            <w:r>
              <w:rPr>
                <w:sz w:val="16"/>
                <w:szCs w:val="16"/>
              </w:rPr>
              <w:t xml:space="preserve">) </w:t>
            </w:r>
          </w:p>
          <w:p w14:paraId="0E0F0552" w14:textId="77777777" w:rsidR="009D6A69" w:rsidRDefault="00693092">
            <w:pPr>
              <w:widowControl w:val="0"/>
              <w:ind w:firstLine="0"/>
              <w:jc w:val="center"/>
              <w:rPr>
                <w:sz w:val="16"/>
                <w:szCs w:val="16"/>
              </w:rPr>
            </w:pPr>
            <w:r>
              <w:rPr>
                <w:sz w:val="16"/>
                <w:szCs w:val="16"/>
              </w:rPr>
              <w:t>de Entrega(s):</w:t>
            </w:r>
          </w:p>
        </w:tc>
        <w:tc>
          <w:tcPr>
            <w:tcW w:w="285" w:type="dxa"/>
            <w:tcBorders>
              <w:top w:val="single" w:sz="4" w:space="0" w:color="000000"/>
              <w:left w:val="single" w:sz="4" w:space="0" w:color="000000"/>
              <w:bottom w:val="single" w:sz="4" w:space="0" w:color="000000"/>
            </w:tcBorders>
            <w:vAlign w:val="center"/>
          </w:tcPr>
          <w:p w14:paraId="714BDB13" w14:textId="77777777" w:rsidR="009D6A69" w:rsidRDefault="00693092">
            <w:pPr>
              <w:widowControl w:val="0"/>
              <w:ind w:firstLine="0"/>
              <w:rPr>
                <w:sz w:val="16"/>
                <w:szCs w:val="16"/>
              </w:rPr>
            </w:pPr>
            <w:r>
              <w:rPr>
                <w:sz w:val="16"/>
                <w:szCs w:val="16"/>
              </w:rPr>
              <w:t>(</w:t>
            </w:r>
          </w:p>
        </w:tc>
        <w:tc>
          <w:tcPr>
            <w:tcW w:w="278" w:type="dxa"/>
            <w:gridSpan w:val="2"/>
            <w:tcBorders>
              <w:top w:val="single" w:sz="4" w:space="0" w:color="000000"/>
              <w:bottom w:val="single" w:sz="4" w:space="0" w:color="000000"/>
            </w:tcBorders>
            <w:vAlign w:val="center"/>
          </w:tcPr>
          <w:p w14:paraId="06206244" w14:textId="68BEFC33" w:rsidR="009D6A69" w:rsidRDefault="009D6A69">
            <w:pPr>
              <w:widowControl w:val="0"/>
              <w:ind w:firstLine="0"/>
              <w:rPr>
                <w:sz w:val="16"/>
                <w:szCs w:val="16"/>
              </w:rPr>
            </w:pPr>
          </w:p>
        </w:tc>
        <w:tc>
          <w:tcPr>
            <w:tcW w:w="287" w:type="dxa"/>
            <w:tcBorders>
              <w:top w:val="single" w:sz="4" w:space="0" w:color="000000"/>
              <w:bottom w:val="single" w:sz="4" w:space="0" w:color="000000"/>
              <w:right w:val="single" w:sz="4" w:space="0" w:color="000000"/>
            </w:tcBorders>
            <w:vAlign w:val="center"/>
          </w:tcPr>
          <w:p w14:paraId="23666FA5" w14:textId="77777777" w:rsidR="009D6A69" w:rsidRDefault="00693092">
            <w:pPr>
              <w:widowControl w:val="0"/>
              <w:ind w:firstLine="0"/>
              <w:rPr>
                <w:sz w:val="16"/>
                <w:szCs w:val="16"/>
              </w:rPr>
            </w:pPr>
            <w:r>
              <w:rPr>
                <w:sz w:val="16"/>
                <w:szCs w:val="16"/>
              </w:rPr>
              <w:t>)</w:t>
            </w:r>
          </w:p>
        </w:tc>
        <w:tc>
          <w:tcPr>
            <w:tcW w:w="1164" w:type="dxa"/>
            <w:gridSpan w:val="2"/>
            <w:tcBorders>
              <w:top w:val="single" w:sz="4" w:space="0" w:color="000000"/>
              <w:left w:val="single" w:sz="4" w:space="0" w:color="000000"/>
              <w:bottom w:val="single" w:sz="4" w:space="0" w:color="000000"/>
              <w:right w:val="single" w:sz="4" w:space="0" w:color="000000"/>
            </w:tcBorders>
            <w:vAlign w:val="center"/>
          </w:tcPr>
          <w:p w14:paraId="2BD5D579" w14:textId="77777777" w:rsidR="009D6A69" w:rsidRDefault="00693092">
            <w:pPr>
              <w:widowControl w:val="0"/>
              <w:ind w:firstLine="0"/>
              <w:rPr>
                <w:sz w:val="16"/>
                <w:szCs w:val="16"/>
              </w:rPr>
            </w:pPr>
            <w:r>
              <w:rPr>
                <w:sz w:val="16"/>
                <w:szCs w:val="16"/>
              </w:rPr>
              <w:t>Não se aplica</w:t>
            </w:r>
          </w:p>
        </w:tc>
        <w:tc>
          <w:tcPr>
            <w:tcW w:w="7201" w:type="dxa"/>
            <w:tcBorders>
              <w:top w:val="single" w:sz="4" w:space="0" w:color="000000"/>
              <w:left w:val="single" w:sz="4" w:space="0" w:color="000000"/>
              <w:bottom w:val="single" w:sz="4" w:space="0" w:color="000000"/>
              <w:right w:val="single" w:sz="4" w:space="0" w:color="000000"/>
            </w:tcBorders>
            <w:vAlign w:val="center"/>
          </w:tcPr>
          <w:p w14:paraId="456B5634" w14:textId="77777777" w:rsidR="009D6A69" w:rsidRDefault="009D6A69">
            <w:pPr>
              <w:widowControl w:val="0"/>
              <w:ind w:firstLine="0"/>
              <w:rPr>
                <w:sz w:val="16"/>
                <w:szCs w:val="16"/>
              </w:rPr>
            </w:pPr>
          </w:p>
        </w:tc>
      </w:tr>
      <w:tr w:rsidR="009D6A69" w14:paraId="5D2796CB" w14:textId="77777777" w:rsidTr="00CC75F6">
        <w:tc>
          <w:tcPr>
            <w:tcW w:w="1100" w:type="dxa"/>
            <w:vMerge/>
            <w:tcBorders>
              <w:top w:val="single" w:sz="4" w:space="0" w:color="000000"/>
              <w:left w:val="single" w:sz="4" w:space="0" w:color="000000"/>
              <w:bottom w:val="single" w:sz="4" w:space="0" w:color="000000"/>
              <w:right w:val="single" w:sz="4" w:space="0" w:color="000000"/>
            </w:tcBorders>
            <w:vAlign w:val="center"/>
          </w:tcPr>
          <w:p w14:paraId="695CA233" w14:textId="77777777" w:rsidR="009D6A69" w:rsidRDefault="009D6A69">
            <w:pPr>
              <w:widowControl w:val="0"/>
            </w:pPr>
          </w:p>
        </w:tc>
        <w:tc>
          <w:tcPr>
            <w:tcW w:w="285" w:type="dxa"/>
            <w:tcBorders>
              <w:top w:val="single" w:sz="4" w:space="0" w:color="000000"/>
              <w:left w:val="single" w:sz="4" w:space="0" w:color="000000"/>
              <w:bottom w:val="single" w:sz="4" w:space="0" w:color="000000"/>
            </w:tcBorders>
            <w:vAlign w:val="center"/>
          </w:tcPr>
          <w:p w14:paraId="21C76D46" w14:textId="77777777" w:rsidR="009D6A69" w:rsidRDefault="00693092">
            <w:pPr>
              <w:widowControl w:val="0"/>
              <w:ind w:firstLine="0"/>
              <w:rPr>
                <w:sz w:val="16"/>
                <w:szCs w:val="16"/>
              </w:rPr>
            </w:pPr>
            <w:r>
              <w:rPr>
                <w:sz w:val="16"/>
                <w:szCs w:val="16"/>
              </w:rPr>
              <w:t>(</w:t>
            </w:r>
          </w:p>
        </w:tc>
        <w:tc>
          <w:tcPr>
            <w:tcW w:w="278" w:type="dxa"/>
            <w:gridSpan w:val="2"/>
            <w:tcBorders>
              <w:top w:val="single" w:sz="4" w:space="0" w:color="000000"/>
              <w:bottom w:val="single" w:sz="4" w:space="0" w:color="000000"/>
            </w:tcBorders>
            <w:vAlign w:val="center"/>
          </w:tcPr>
          <w:p w14:paraId="7AB7DBBC" w14:textId="77777777" w:rsidR="009D6A69" w:rsidRDefault="00693092">
            <w:pPr>
              <w:widowControl w:val="0"/>
              <w:ind w:firstLine="0"/>
              <w:rPr>
                <w:sz w:val="16"/>
                <w:szCs w:val="16"/>
              </w:rPr>
            </w:pPr>
            <w:r>
              <w:rPr>
                <w:sz w:val="16"/>
                <w:szCs w:val="16"/>
              </w:rPr>
              <w:t>x</w:t>
            </w:r>
          </w:p>
        </w:tc>
        <w:tc>
          <w:tcPr>
            <w:tcW w:w="287" w:type="dxa"/>
            <w:tcBorders>
              <w:top w:val="single" w:sz="4" w:space="0" w:color="000000"/>
              <w:bottom w:val="single" w:sz="4" w:space="0" w:color="000000"/>
              <w:right w:val="single" w:sz="4" w:space="0" w:color="000000"/>
            </w:tcBorders>
            <w:vAlign w:val="center"/>
          </w:tcPr>
          <w:p w14:paraId="7A75BC2C" w14:textId="77777777" w:rsidR="009D6A69" w:rsidRDefault="00693092">
            <w:pPr>
              <w:widowControl w:val="0"/>
              <w:ind w:firstLine="0"/>
              <w:rPr>
                <w:sz w:val="16"/>
                <w:szCs w:val="16"/>
              </w:rPr>
            </w:pPr>
            <w:r>
              <w:rPr>
                <w:sz w:val="16"/>
                <w:szCs w:val="16"/>
              </w:rPr>
              <w:t>)</w:t>
            </w:r>
          </w:p>
        </w:tc>
        <w:tc>
          <w:tcPr>
            <w:tcW w:w="1164" w:type="dxa"/>
            <w:gridSpan w:val="2"/>
            <w:tcBorders>
              <w:top w:val="single" w:sz="4" w:space="0" w:color="000000"/>
              <w:left w:val="single" w:sz="4" w:space="0" w:color="000000"/>
              <w:bottom w:val="single" w:sz="4" w:space="0" w:color="000000"/>
              <w:right w:val="single" w:sz="4" w:space="0" w:color="000000"/>
            </w:tcBorders>
            <w:vAlign w:val="center"/>
          </w:tcPr>
          <w:p w14:paraId="11C0CE03" w14:textId="320E9E70" w:rsidR="009D6A69" w:rsidRDefault="00693092">
            <w:pPr>
              <w:widowControl w:val="0"/>
              <w:ind w:firstLine="0"/>
              <w:rPr>
                <w:sz w:val="16"/>
                <w:szCs w:val="16"/>
              </w:rPr>
            </w:pPr>
            <w:r>
              <w:rPr>
                <w:sz w:val="16"/>
                <w:szCs w:val="16"/>
              </w:rPr>
              <w:t>Outros:</w:t>
            </w:r>
          </w:p>
        </w:tc>
        <w:tc>
          <w:tcPr>
            <w:tcW w:w="7201" w:type="dxa"/>
            <w:tcBorders>
              <w:top w:val="single" w:sz="4" w:space="0" w:color="000000"/>
              <w:left w:val="single" w:sz="4" w:space="0" w:color="000000"/>
              <w:bottom w:val="single" w:sz="4" w:space="0" w:color="000000"/>
              <w:right w:val="single" w:sz="4" w:space="0" w:color="000000"/>
            </w:tcBorders>
            <w:vAlign w:val="center"/>
          </w:tcPr>
          <w:p w14:paraId="2CABFD77" w14:textId="0DDD81D7" w:rsidR="009D6A69" w:rsidRDefault="00693092">
            <w:pPr>
              <w:widowControl w:val="0"/>
              <w:ind w:firstLine="0"/>
            </w:pPr>
            <w:r>
              <w:rPr>
                <w:sz w:val="16"/>
                <w:szCs w:val="16"/>
              </w:rPr>
              <w:t>Ginásio Municipal Arnoldo Guilherme Rex</w:t>
            </w:r>
            <w:r w:rsidR="00CC75F6">
              <w:rPr>
                <w:sz w:val="16"/>
                <w:szCs w:val="16"/>
              </w:rPr>
              <w:t xml:space="preserve"> - </w:t>
            </w:r>
            <w:r w:rsidR="00CC75F6" w:rsidRPr="00CC75F6">
              <w:rPr>
                <w:sz w:val="16"/>
                <w:szCs w:val="16"/>
              </w:rPr>
              <w:t>R. Augusto Gartner, 460, Imigrante - RS, 95885-000</w:t>
            </w:r>
          </w:p>
        </w:tc>
      </w:tr>
    </w:tbl>
    <w:p w14:paraId="52D0DE69" w14:textId="77777777" w:rsidR="009D6A69" w:rsidRDefault="009D6A69"/>
    <w:tbl>
      <w:tblPr>
        <w:tblW w:w="10314" w:type="dxa"/>
        <w:tblLayout w:type="fixed"/>
        <w:tblLook w:val="04A0" w:firstRow="1" w:lastRow="0" w:firstColumn="1" w:lastColumn="0" w:noHBand="0" w:noVBand="1"/>
      </w:tblPr>
      <w:tblGrid>
        <w:gridCol w:w="10314"/>
      </w:tblGrid>
      <w:tr w:rsidR="009D6A69" w14:paraId="0D85F082"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31F134DE" w14:textId="77777777" w:rsidR="009D6A69" w:rsidRDefault="00693092">
            <w:pPr>
              <w:widowControl w:val="0"/>
              <w:ind w:firstLine="0"/>
              <w:jc w:val="center"/>
            </w:pPr>
            <w:r>
              <w:rPr>
                <w:b/>
                <w:bCs/>
                <w:szCs w:val="18"/>
              </w:rPr>
              <w:t>Regras para Recebimento Provisório e/ou Definitivo</w:t>
            </w:r>
          </w:p>
        </w:tc>
      </w:tr>
      <w:tr w:rsidR="009D6A69" w14:paraId="4E228442"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6668661E" w14:textId="77777777" w:rsidR="009D6A69" w:rsidRDefault="00693092">
            <w:pPr>
              <w:widowControl w:val="0"/>
              <w:ind w:firstLine="0"/>
            </w:pPr>
            <w:r>
              <w:rPr>
                <w:sz w:val="16"/>
                <w:szCs w:val="16"/>
              </w:rPr>
              <w:t xml:space="preserve">Quando do recebimento provisório e/ou definitivo, o(s) </w:t>
            </w:r>
            <w:proofErr w:type="spellStart"/>
            <w:r>
              <w:rPr>
                <w:sz w:val="16"/>
                <w:szCs w:val="16"/>
              </w:rPr>
              <w:t>fisca</w:t>
            </w:r>
            <w:proofErr w:type="spellEnd"/>
            <w:r>
              <w:rPr>
                <w:sz w:val="16"/>
                <w:szCs w:val="16"/>
              </w:rPr>
              <w:t>(</w:t>
            </w:r>
            <w:proofErr w:type="spellStart"/>
            <w:r>
              <w:rPr>
                <w:sz w:val="16"/>
                <w:szCs w:val="16"/>
              </w:rPr>
              <w:t>is</w:t>
            </w:r>
            <w:proofErr w:type="spellEnd"/>
            <w:r>
              <w:rPr>
                <w:sz w:val="16"/>
                <w:szCs w:val="16"/>
              </w:rPr>
              <w:t xml:space="preserve">) do contrato deverão verificar se a </w:t>
            </w:r>
            <w:r>
              <w:rPr>
                <w:b/>
                <w:bCs/>
                <w:sz w:val="16"/>
                <w:szCs w:val="16"/>
              </w:rPr>
              <w:t>quantidade</w:t>
            </w:r>
            <w:r>
              <w:rPr>
                <w:sz w:val="16"/>
                <w:szCs w:val="16"/>
              </w:rPr>
              <w:t xml:space="preserve">, </w:t>
            </w:r>
            <w:r>
              <w:rPr>
                <w:b/>
                <w:bCs/>
                <w:sz w:val="16"/>
                <w:szCs w:val="16"/>
              </w:rPr>
              <w:t>qualidade</w:t>
            </w:r>
            <w:r>
              <w:rPr>
                <w:sz w:val="16"/>
                <w:szCs w:val="16"/>
              </w:rPr>
              <w:t xml:space="preserve"> e </w:t>
            </w:r>
            <w:r>
              <w:rPr>
                <w:b/>
                <w:bCs/>
                <w:sz w:val="16"/>
                <w:szCs w:val="16"/>
              </w:rPr>
              <w:t>pontualidade</w:t>
            </w:r>
            <w:r>
              <w:rPr>
                <w:sz w:val="16"/>
                <w:szCs w:val="16"/>
              </w:rPr>
              <w:t xml:space="preserve"> da entrega estão em consonância com a autorização de compra e/ou ordem de execução de serviço, nota de empenho de despesa, ou emissão de outro instrumento hábil equivalente.</w:t>
            </w:r>
          </w:p>
        </w:tc>
      </w:tr>
    </w:tbl>
    <w:p w14:paraId="1D38BF61" w14:textId="77777777" w:rsidR="009D6A69" w:rsidRDefault="009D6A69"/>
    <w:tbl>
      <w:tblPr>
        <w:tblW w:w="10314" w:type="dxa"/>
        <w:tblLayout w:type="fixed"/>
        <w:tblLook w:val="04A0" w:firstRow="1" w:lastRow="0" w:firstColumn="1" w:lastColumn="0" w:noHBand="0" w:noVBand="1"/>
      </w:tblPr>
      <w:tblGrid>
        <w:gridCol w:w="1662"/>
        <w:gridCol w:w="4683"/>
        <w:gridCol w:w="3969"/>
      </w:tblGrid>
      <w:tr w:rsidR="009D6A69" w14:paraId="5A57552E" w14:textId="77777777">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2512B931" w14:textId="77777777" w:rsidR="009D6A69" w:rsidRDefault="00693092">
            <w:pPr>
              <w:widowControl w:val="0"/>
              <w:ind w:firstLine="0"/>
              <w:jc w:val="center"/>
            </w:pPr>
            <w:r>
              <w:rPr>
                <w:b/>
                <w:bCs/>
                <w:szCs w:val="18"/>
              </w:rPr>
              <w:t>Garantia, Manutenção e Assistência Técnica</w:t>
            </w:r>
          </w:p>
        </w:tc>
      </w:tr>
      <w:tr w:rsidR="009D6A69" w14:paraId="0A17119E" w14:textId="77777777" w:rsidTr="00CC75F6">
        <w:trPr>
          <w:trHeight w:val="70"/>
        </w:trPr>
        <w:tc>
          <w:tcPr>
            <w:tcW w:w="1662" w:type="dxa"/>
            <w:tcBorders>
              <w:top w:val="single" w:sz="4" w:space="0" w:color="000000"/>
              <w:left w:val="single" w:sz="4" w:space="0" w:color="000000"/>
              <w:bottom w:val="single" w:sz="4" w:space="0" w:color="000000"/>
              <w:right w:val="single" w:sz="4" w:space="0" w:color="000000"/>
            </w:tcBorders>
            <w:vAlign w:val="center"/>
          </w:tcPr>
          <w:p w14:paraId="636BB162" w14:textId="77777777" w:rsidR="009D6A69" w:rsidRDefault="00693092">
            <w:pPr>
              <w:widowControl w:val="0"/>
              <w:ind w:firstLine="0"/>
              <w:rPr>
                <w:sz w:val="16"/>
                <w:szCs w:val="16"/>
              </w:rPr>
            </w:pPr>
            <w:proofErr w:type="gramStart"/>
            <w:r>
              <w:rPr>
                <w:sz w:val="16"/>
                <w:szCs w:val="16"/>
              </w:rPr>
              <w:t>( x</w:t>
            </w:r>
            <w:proofErr w:type="gramEnd"/>
            <w:r>
              <w:rPr>
                <w:sz w:val="16"/>
                <w:szCs w:val="16"/>
              </w:rPr>
              <w:t xml:space="preserve"> ) Não se aplica</w:t>
            </w:r>
          </w:p>
        </w:tc>
        <w:tc>
          <w:tcPr>
            <w:tcW w:w="4683" w:type="dxa"/>
            <w:tcBorders>
              <w:top w:val="single" w:sz="4" w:space="0" w:color="000000"/>
              <w:left w:val="single" w:sz="4" w:space="0" w:color="000000"/>
              <w:bottom w:val="single" w:sz="4" w:space="0" w:color="000000"/>
              <w:right w:val="single" w:sz="4" w:space="0" w:color="000000"/>
            </w:tcBorders>
            <w:vAlign w:val="center"/>
          </w:tcPr>
          <w:p w14:paraId="3580D71E"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90 dias, cfe. art. 26 da Lei 8.078/1990 (CDC)</w:t>
            </w:r>
          </w:p>
        </w:tc>
        <w:tc>
          <w:tcPr>
            <w:tcW w:w="3969" w:type="dxa"/>
            <w:tcBorders>
              <w:top w:val="single" w:sz="4" w:space="0" w:color="000000"/>
              <w:left w:val="single" w:sz="4" w:space="0" w:color="000000"/>
              <w:bottom w:val="single" w:sz="4" w:space="0" w:color="000000"/>
              <w:right w:val="single" w:sz="4" w:space="0" w:color="000000"/>
            </w:tcBorders>
            <w:vAlign w:val="center"/>
          </w:tcPr>
          <w:p w14:paraId="2AC95D8F"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Outro (especificar abaixo):</w:t>
            </w:r>
          </w:p>
        </w:tc>
      </w:tr>
      <w:tr w:rsidR="009D6A69" w14:paraId="49B36EB2" w14:textId="77777777" w:rsidTr="00CC75F6">
        <w:trPr>
          <w:trHeight w:val="1120"/>
        </w:trPr>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7F126A45" w14:textId="77777777" w:rsidR="009D6A69" w:rsidRDefault="00693092" w:rsidP="00CC75F6">
            <w:pPr>
              <w:widowControl w:val="0"/>
              <w:spacing w:after="0"/>
              <w:ind w:firstLine="0"/>
              <w:rPr>
                <w:sz w:val="16"/>
                <w:szCs w:val="16"/>
              </w:rPr>
            </w:pPr>
            <w:r>
              <w:rPr>
                <w:sz w:val="16"/>
                <w:szCs w:val="16"/>
              </w:rPr>
              <w:t>a) O prazo de garantia é contado a partir do recebimento provisório, no caso de defeitos e/ou vício(s) de produto(s) e/ou serviço(s).</w:t>
            </w:r>
          </w:p>
          <w:p w14:paraId="0083D1C8" w14:textId="77777777" w:rsidR="009D6A69" w:rsidRDefault="00693092" w:rsidP="00CC75F6">
            <w:pPr>
              <w:widowControl w:val="0"/>
              <w:spacing w:after="0"/>
              <w:ind w:firstLine="0"/>
            </w:pPr>
            <w:r>
              <w:rPr>
                <w:sz w:val="16"/>
                <w:szCs w:val="16"/>
              </w:rPr>
              <w:t xml:space="preserve">b) Se, durante o prazo de garantia, os produtos e/ou serviços, apresentarem defeitos e/ou vícios, o fornecedor deverá substitui-los ou refazê-los no prazo de até </w:t>
            </w:r>
            <w:r>
              <w:rPr>
                <w:b/>
                <w:bCs/>
                <w:sz w:val="16"/>
                <w:szCs w:val="16"/>
                <w:shd w:val="clear" w:color="auto" w:fill="FFFF00"/>
              </w:rPr>
              <w:t>XX dias</w:t>
            </w:r>
            <w:r>
              <w:rPr>
                <w:sz w:val="16"/>
                <w:szCs w:val="16"/>
              </w:rPr>
              <w:t>, a partir da comunicação por escrito.</w:t>
            </w:r>
          </w:p>
          <w:p w14:paraId="5C138ABF" w14:textId="77777777" w:rsidR="009D6A69" w:rsidRDefault="00693092" w:rsidP="00CC75F6">
            <w:pPr>
              <w:widowControl w:val="0"/>
              <w:spacing w:after="0"/>
              <w:ind w:firstLine="0"/>
              <w:rPr>
                <w:sz w:val="16"/>
                <w:szCs w:val="16"/>
              </w:rPr>
            </w:pPr>
            <w:r>
              <w:rPr>
                <w:sz w:val="16"/>
                <w:szCs w:val="16"/>
              </w:rPr>
              <w:t>c) Tratando-se de vício oculto, o prazo decadencial inicia-se no momento em que ficar evidenciado o vício.</w:t>
            </w:r>
          </w:p>
          <w:p w14:paraId="4ED48306" w14:textId="365D0510" w:rsidR="009D6A69" w:rsidRPr="00CC75F6" w:rsidRDefault="00693092" w:rsidP="00CC75F6">
            <w:pPr>
              <w:widowControl w:val="0"/>
              <w:spacing w:after="0"/>
              <w:ind w:firstLine="0"/>
            </w:pPr>
            <w:r>
              <w:rPr>
                <w:sz w:val="16"/>
                <w:szCs w:val="16"/>
              </w:rPr>
              <w:t xml:space="preserve">d) Quando a manutenção e/ou assistência técnica não puder ser realizada nas dependências do Município, </w:t>
            </w:r>
            <w:r>
              <w:rPr>
                <w:b/>
                <w:bCs/>
                <w:sz w:val="16"/>
                <w:szCs w:val="16"/>
              </w:rPr>
              <w:t>os custos de transporte (envio e retorno) serão de responsabilidade do fornecedor</w:t>
            </w:r>
            <w:r>
              <w:rPr>
                <w:sz w:val="16"/>
                <w:szCs w:val="16"/>
              </w:rPr>
              <w:t>.</w:t>
            </w:r>
          </w:p>
        </w:tc>
      </w:tr>
    </w:tbl>
    <w:p w14:paraId="03AA83A0" w14:textId="77777777" w:rsidR="009D6A69" w:rsidRDefault="00693092">
      <w:pPr>
        <w:pStyle w:val="Ttulo1"/>
      </w:pPr>
      <w:r>
        <w:t>Prazo Contratual Previsto</w:t>
      </w:r>
    </w:p>
    <w:tbl>
      <w:tblPr>
        <w:tblW w:w="10314" w:type="dxa"/>
        <w:tblLayout w:type="fixed"/>
        <w:tblLook w:val="04A0" w:firstRow="1" w:lastRow="0" w:firstColumn="1" w:lastColumn="0" w:noHBand="0" w:noVBand="1"/>
      </w:tblPr>
      <w:tblGrid>
        <w:gridCol w:w="1527"/>
        <w:gridCol w:w="2833"/>
        <w:gridCol w:w="3829"/>
        <w:gridCol w:w="2125"/>
      </w:tblGrid>
      <w:tr w:rsidR="009D6A69" w14:paraId="7D6B3561" w14:textId="77777777" w:rsidTr="00CC75F6">
        <w:trPr>
          <w:trHeight w:val="70"/>
        </w:trPr>
        <w:tc>
          <w:tcPr>
            <w:tcW w:w="1526" w:type="dxa"/>
            <w:tcBorders>
              <w:top w:val="single" w:sz="4" w:space="0" w:color="000000"/>
              <w:left w:val="single" w:sz="4" w:space="0" w:color="000000"/>
              <w:bottom w:val="single" w:sz="4" w:space="0" w:color="000000"/>
              <w:right w:val="single" w:sz="4" w:space="0" w:color="000000"/>
            </w:tcBorders>
            <w:vAlign w:val="center"/>
          </w:tcPr>
          <w:p w14:paraId="3F884640"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Não se aplica.</w:t>
            </w:r>
          </w:p>
        </w:tc>
        <w:tc>
          <w:tcPr>
            <w:tcW w:w="8787" w:type="dxa"/>
            <w:gridSpan w:val="3"/>
            <w:tcBorders>
              <w:top w:val="single" w:sz="4" w:space="0" w:color="000000"/>
              <w:left w:val="single" w:sz="4" w:space="0" w:color="000000"/>
              <w:bottom w:val="single" w:sz="4" w:space="0" w:color="000000"/>
              <w:right w:val="single" w:sz="4" w:space="0" w:color="000000"/>
            </w:tcBorders>
            <w:vAlign w:val="center"/>
          </w:tcPr>
          <w:p w14:paraId="69FBD6C5"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Até 2 anos, por se tratar de SRP, comprovado o preço vantajoso, cfe. art. 84 da Lei 14.133/21</w:t>
            </w:r>
          </w:p>
        </w:tc>
      </w:tr>
      <w:tr w:rsidR="009D6A69" w14:paraId="34600F42" w14:textId="77777777">
        <w:trPr>
          <w:trHeight w:val="245"/>
        </w:trPr>
        <w:tc>
          <w:tcPr>
            <w:tcW w:w="8188" w:type="dxa"/>
            <w:gridSpan w:val="3"/>
            <w:vMerge w:val="restart"/>
            <w:tcBorders>
              <w:top w:val="single" w:sz="4" w:space="0" w:color="000000"/>
              <w:left w:val="single" w:sz="4" w:space="0" w:color="000000"/>
              <w:bottom w:val="single" w:sz="4" w:space="0" w:color="000000"/>
              <w:right w:val="single" w:sz="4" w:space="0" w:color="000000"/>
            </w:tcBorders>
            <w:vAlign w:val="center"/>
          </w:tcPr>
          <w:p w14:paraId="14EBC712" w14:textId="77777777" w:rsidR="009D6A69" w:rsidRDefault="00693092">
            <w:pPr>
              <w:widowControl w:val="0"/>
              <w:ind w:firstLine="0"/>
              <w:jc w:val="left"/>
              <w:rPr>
                <w:sz w:val="16"/>
                <w:szCs w:val="16"/>
              </w:rPr>
            </w:pPr>
            <w:r>
              <w:rPr>
                <w:sz w:val="16"/>
                <w:szCs w:val="16"/>
              </w:rPr>
              <w:t>(x) Até a conclusão de escopo predefinido, automaticamente prorrogado quando o objeto não for concluído no período firmado no contrato, cfe. art. 111 da Lei 14.133/21 (identificar período de vigência previsto ao lado)</w:t>
            </w:r>
          </w:p>
        </w:tc>
        <w:tc>
          <w:tcPr>
            <w:tcW w:w="2125" w:type="dxa"/>
            <w:tcBorders>
              <w:top w:val="single" w:sz="4" w:space="0" w:color="000000"/>
              <w:left w:val="single" w:sz="4" w:space="0" w:color="000000"/>
              <w:right w:val="single" w:sz="4" w:space="0" w:color="000000"/>
            </w:tcBorders>
            <w:vAlign w:val="center"/>
          </w:tcPr>
          <w:p w14:paraId="3440C8B1" w14:textId="77777777" w:rsidR="009D6A69" w:rsidRDefault="00693092">
            <w:pPr>
              <w:widowControl w:val="0"/>
              <w:ind w:firstLine="0"/>
              <w:jc w:val="center"/>
              <w:rPr>
                <w:sz w:val="16"/>
                <w:szCs w:val="16"/>
              </w:rPr>
            </w:pPr>
            <w:r>
              <w:rPr>
                <w:sz w:val="16"/>
                <w:szCs w:val="16"/>
              </w:rPr>
              <w:t>Período vigência previsto:</w:t>
            </w:r>
          </w:p>
        </w:tc>
      </w:tr>
      <w:tr w:rsidR="009D6A69" w14:paraId="01674792" w14:textId="77777777">
        <w:trPr>
          <w:trHeight w:val="244"/>
        </w:trPr>
        <w:tc>
          <w:tcPr>
            <w:tcW w:w="8188" w:type="dxa"/>
            <w:gridSpan w:val="3"/>
            <w:vMerge/>
            <w:tcBorders>
              <w:top w:val="single" w:sz="4" w:space="0" w:color="000000"/>
              <w:left w:val="single" w:sz="4" w:space="0" w:color="000000"/>
              <w:bottom w:val="single" w:sz="4" w:space="0" w:color="000000"/>
              <w:right w:val="single" w:sz="4" w:space="0" w:color="000000"/>
            </w:tcBorders>
            <w:vAlign w:val="center"/>
          </w:tcPr>
          <w:p w14:paraId="64363276" w14:textId="77777777" w:rsidR="009D6A69" w:rsidRDefault="009D6A69">
            <w:pPr>
              <w:widowControl w:val="0"/>
            </w:pPr>
          </w:p>
        </w:tc>
        <w:tc>
          <w:tcPr>
            <w:tcW w:w="2125" w:type="dxa"/>
            <w:tcBorders>
              <w:left w:val="single" w:sz="4" w:space="0" w:color="000000"/>
              <w:bottom w:val="single" w:sz="4" w:space="0" w:color="000000"/>
              <w:right w:val="single" w:sz="4" w:space="0" w:color="000000"/>
            </w:tcBorders>
            <w:vAlign w:val="center"/>
          </w:tcPr>
          <w:p w14:paraId="0E3AD0C1" w14:textId="77777777" w:rsidR="009D6A69" w:rsidRPr="00670FD4" w:rsidRDefault="00693092">
            <w:pPr>
              <w:widowControl w:val="0"/>
              <w:ind w:firstLine="0"/>
              <w:jc w:val="center"/>
              <w:rPr>
                <w:b/>
                <w:bCs/>
              </w:rPr>
            </w:pPr>
            <w:r w:rsidRPr="00670FD4">
              <w:rPr>
                <w:b/>
                <w:bCs/>
                <w:sz w:val="16"/>
                <w:szCs w:val="16"/>
              </w:rPr>
              <w:t>3 meses</w:t>
            </w:r>
          </w:p>
        </w:tc>
      </w:tr>
      <w:tr w:rsidR="009D6A69" w14:paraId="67386E0C" w14:textId="77777777" w:rsidTr="00CC75F6">
        <w:trPr>
          <w:trHeight w:val="70"/>
        </w:trPr>
        <w:tc>
          <w:tcPr>
            <w:tcW w:w="4359" w:type="dxa"/>
            <w:gridSpan w:val="2"/>
            <w:tcBorders>
              <w:top w:val="single" w:sz="4" w:space="0" w:color="000000"/>
              <w:left w:val="single" w:sz="4" w:space="0" w:color="000000"/>
              <w:bottom w:val="single" w:sz="4" w:space="0" w:color="000000"/>
              <w:right w:val="single" w:sz="4" w:space="0" w:color="000000"/>
            </w:tcBorders>
            <w:vAlign w:val="center"/>
          </w:tcPr>
          <w:p w14:paraId="72315C24"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Até 5 anos, cfe. art. 106 da Lei 14.133/21</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6AA8C272"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Até 10 anos, cfe. art. 107 da Lei 14.133/21</w:t>
            </w:r>
          </w:p>
        </w:tc>
      </w:tr>
      <w:tr w:rsidR="009D6A69" w14:paraId="0C291EED" w14:textId="77777777" w:rsidTr="00CC75F6">
        <w:trPr>
          <w:trHeight w:val="179"/>
        </w:trPr>
        <w:tc>
          <w:tcPr>
            <w:tcW w:w="4359" w:type="dxa"/>
            <w:gridSpan w:val="2"/>
            <w:tcBorders>
              <w:top w:val="single" w:sz="4" w:space="0" w:color="000000"/>
              <w:left w:val="single" w:sz="4" w:space="0" w:color="000000"/>
              <w:bottom w:val="single" w:sz="4" w:space="0" w:color="000000"/>
              <w:right w:val="single" w:sz="4" w:space="0" w:color="000000"/>
            </w:tcBorders>
            <w:vAlign w:val="center"/>
          </w:tcPr>
          <w:p w14:paraId="7AE2AC01"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Até 10 anos, cfe. inciso I do art. 110 da Lei 14.133/21</w:t>
            </w:r>
          </w:p>
        </w:tc>
        <w:tc>
          <w:tcPr>
            <w:tcW w:w="5954" w:type="dxa"/>
            <w:gridSpan w:val="2"/>
            <w:tcBorders>
              <w:top w:val="single" w:sz="4" w:space="0" w:color="000000"/>
              <w:left w:val="single" w:sz="4" w:space="0" w:color="000000"/>
              <w:bottom w:val="single" w:sz="4" w:space="0" w:color="000000"/>
              <w:right w:val="single" w:sz="4" w:space="0" w:color="000000"/>
            </w:tcBorders>
            <w:vAlign w:val="center"/>
          </w:tcPr>
          <w:p w14:paraId="64EDA6E9"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Até 35 anos, cfe. inciso I do art. 110 da Lei 14.133/21</w:t>
            </w:r>
          </w:p>
        </w:tc>
      </w:tr>
      <w:tr w:rsidR="009D6A69" w14:paraId="591B79AE" w14:textId="77777777">
        <w:trPr>
          <w:trHeight w:val="320"/>
        </w:trPr>
        <w:tc>
          <w:tcPr>
            <w:tcW w:w="10313" w:type="dxa"/>
            <w:gridSpan w:val="4"/>
            <w:tcBorders>
              <w:top w:val="single" w:sz="4" w:space="0" w:color="000000"/>
              <w:left w:val="single" w:sz="4" w:space="0" w:color="000000"/>
              <w:bottom w:val="single" w:sz="4" w:space="0" w:color="000000"/>
              <w:right w:val="single" w:sz="4" w:space="0" w:color="000000"/>
            </w:tcBorders>
            <w:vAlign w:val="center"/>
          </w:tcPr>
          <w:p w14:paraId="6CE64615" w14:textId="48125ADD" w:rsidR="009D6A69" w:rsidRDefault="00693092" w:rsidP="00CC75F6">
            <w:pPr>
              <w:widowControl w:val="0"/>
              <w:ind w:firstLine="0"/>
              <w:jc w:val="left"/>
              <w:rPr>
                <w:sz w:val="16"/>
                <w:szCs w:val="16"/>
              </w:rPr>
            </w:pPr>
            <w:r>
              <w:rPr>
                <w:b/>
                <w:bCs/>
                <w:sz w:val="16"/>
                <w:szCs w:val="16"/>
                <w:u w:val="single"/>
              </w:rPr>
              <w:t>Obs.:</w:t>
            </w:r>
            <w:r w:rsidR="008C620A">
              <w:rPr>
                <w:b/>
                <w:bCs/>
                <w:sz w:val="16"/>
                <w:szCs w:val="16"/>
                <w:u w:val="single"/>
              </w:rPr>
              <w:t xml:space="preserve"> </w:t>
            </w:r>
            <w:r>
              <w:rPr>
                <w:sz w:val="16"/>
                <w:szCs w:val="16"/>
              </w:rPr>
              <w:t>Quando o prazo for superior a 1 ano, poderá ser renovado, à critério das partes, por iguais e sucessíveis períodos no limite da lei, desde que haja previsão em edital e que sejam atestadas pelo gestor do contato que as condições e os preços permanecem vantajosos para a Administração.</w:t>
            </w:r>
          </w:p>
        </w:tc>
      </w:tr>
    </w:tbl>
    <w:p w14:paraId="0E17F157" w14:textId="77777777" w:rsidR="009D6A69" w:rsidRDefault="00693092">
      <w:pPr>
        <w:pStyle w:val="Ttulo1"/>
      </w:pPr>
      <w:r>
        <w:lastRenderedPageBreak/>
        <w:t>Estimativa do Valor da Contratação</w:t>
      </w:r>
    </w:p>
    <w:tbl>
      <w:tblPr>
        <w:tblW w:w="10314" w:type="dxa"/>
        <w:tblLayout w:type="fixed"/>
        <w:tblLook w:val="04A0" w:firstRow="1" w:lastRow="0" w:firstColumn="1" w:lastColumn="0" w:noHBand="0" w:noVBand="1"/>
      </w:tblPr>
      <w:tblGrid>
        <w:gridCol w:w="10314"/>
      </w:tblGrid>
      <w:tr w:rsidR="009D6A69" w14:paraId="514803C7" w14:textId="77777777">
        <w:trPr>
          <w:trHeight w:val="320"/>
        </w:trPr>
        <w:tc>
          <w:tcPr>
            <w:tcW w:w="10314" w:type="dxa"/>
            <w:tcBorders>
              <w:top w:val="single" w:sz="4" w:space="0" w:color="000000"/>
              <w:left w:val="single" w:sz="4" w:space="0" w:color="000000"/>
              <w:bottom w:val="single" w:sz="4" w:space="0" w:color="000000"/>
              <w:right w:val="single" w:sz="4" w:space="0" w:color="000000"/>
            </w:tcBorders>
            <w:vAlign w:val="center"/>
          </w:tcPr>
          <w:p w14:paraId="47924403" w14:textId="49C2561A" w:rsidR="009D6A69" w:rsidRDefault="00693092">
            <w:pPr>
              <w:widowControl w:val="0"/>
              <w:ind w:firstLine="0"/>
              <w:jc w:val="left"/>
            </w:pPr>
            <w:r>
              <w:rPr>
                <w:sz w:val="16"/>
                <w:szCs w:val="16"/>
              </w:rPr>
              <w:t xml:space="preserve">Valor </w:t>
            </w:r>
            <w:r w:rsidRPr="001457E3">
              <w:rPr>
                <w:sz w:val="16"/>
                <w:szCs w:val="16"/>
              </w:rPr>
              <w:t xml:space="preserve">total Estimado: </w:t>
            </w:r>
            <w:r w:rsidRPr="001457E3">
              <w:rPr>
                <w:sz w:val="16"/>
                <w:szCs w:val="16"/>
                <w:shd w:val="clear" w:color="auto" w:fill="FFFF00"/>
              </w:rPr>
              <w:t>R$ 2</w:t>
            </w:r>
            <w:r w:rsidR="00670FD4" w:rsidRPr="001457E3">
              <w:rPr>
                <w:sz w:val="16"/>
                <w:szCs w:val="16"/>
                <w:shd w:val="clear" w:color="auto" w:fill="FFFF00"/>
              </w:rPr>
              <w:t>3.220,00</w:t>
            </w:r>
          </w:p>
        </w:tc>
      </w:tr>
    </w:tbl>
    <w:p w14:paraId="52C5B738" w14:textId="77777777" w:rsidR="009D6A69" w:rsidRDefault="00693092">
      <w:pPr>
        <w:pStyle w:val="Ttulo1"/>
      </w:pPr>
      <w:r>
        <w:t>Adequação Orçamentária</w:t>
      </w:r>
    </w:p>
    <w:tbl>
      <w:tblPr>
        <w:tblW w:w="10314" w:type="dxa"/>
        <w:tblLayout w:type="fixed"/>
        <w:tblLook w:val="04A0" w:firstRow="1" w:lastRow="0" w:firstColumn="1" w:lastColumn="0" w:noHBand="0" w:noVBand="1"/>
      </w:tblPr>
      <w:tblGrid>
        <w:gridCol w:w="5777"/>
        <w:gridCol w:w="4537"/>
      </w:tblGrid>
      <w:tr w:rsidR="009D6A69" w14:paraId="551CCB06" w14:textId="77777777" w:rsidTr="00CC75F6">
        <w:trPr>
          <w:trHeight w:val="70"/>
        </w:trPr>
        <w:tc>
          <w:tcPr>
            <w:tcW w:w="5776" w:type="dxa"/>
            <w:tcBorders>
              <w:top w:val="single" w:sz="4" w:space="0" w:color="000000"/>
              <w:left w:val="single" w:sz="4" w:space="0" w:color="000000"/>
              <w:bottom w:val="single" w:sz="4" w:space="0" w:color="000000"/>
              <w:right w:val="single" w:sz="4" w:space="0" w:color="000000"/>
            </w:tcBorders>
            <w:vAlign w:val="center"/>
          </w:tcPr>
          <w:p w14:paraId="0612B597" w14:textId="77777777" w:rsidR="009D6A69" w:rsidRDefault="00693092">
            <w:pPr>
              <w:widowControl w:val="0"/>
              <w:ind w:firstLine="0"/>
              <w:rPr>
                <w:sz w:val="16"/>
                <w:szCs w:val="16"/>
              </w:rPr>
            </w:pPr>
            <w:r>
              <w:rPr>
                <w:sz w:val="16"/>
                <w:szCs w:val="16"/>
              </w:rPr>
              <w:t>(x) Cfe. evidenciado em documento complementar disponível no processo.</w:t>
            </w:r>
          </w:p>
        </w:tc>
        <w:tc>
          <w:tcPr>
            <w:tcW w:w="4537" w:type="dxa"/>
            <w:tcBorders>
              <w:top w:val="single" w:sz="4" w:space="0" w:color="000000"/>
              <w:left w:val="single" w:sz="4" w:space="0" w:color="000000"/>
              <w:bottom w:val="single" w:sz="4" w:space="0" w:color="000000"/>
              <w:right w:val="single" w:sz="4" w:space="0" w:color="000000"/>
            </w:tcBorders>
            <w:vAlign w:val="center"/>
          </w:tcPr>
          <w:p w14:paraId="16CD17F5"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Não se aplica, pois se trata de SRP.</w:t>
            </w:r>
          </w:p>
        </w:tc>
      </w:tr>
    </w:tbl>
    <w:p w14:paraId="4CA587C9" w14:textId="77777777" w:rsidR="009D6A69" w:rsidRDefault="00693092">
      <w:pPr>
        <w:pStyle w:val="Ttulo1"/>
      </w:pPr>
      <w:r>
        <w:t>Fundamentação da Contratação</w:t>
      </w:r>
    </w:p>
    <w:tbl>
      <w:tblPr>
        <w:tblW w:w="10314" w:type="dxa"/>
        <w:tblLayout w:type="fixed"/>
        <w:tblLook w:val="04A0" w:firstRow="1" w:lastRow="0" w:firstColumn="1" w:lastColumn="0" w:noHBand="0" w:noVBand="1"/>
      </w:tblPr>
      <w:tblGrid>
        <w:gridCol w:w="3079"/>
        <w:gridCol w:w="3692"/>
        <w:gridCol w:w="3543"/>
      </w:tblGrid>
      <w:tr w:rsidR="009D6A69" w14:paraId="76755E01" w14:textId="77777777">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0557055C" w14:textId="77777777" w:rsidR="009D6A69" w:rsidRDefault="00693092">
            <w:pPr>
              <w:widowControl w:val="0"/>
              <w:ind w:firstLine="0"/>
              <w:jc w:val="center"/>
              <w:rPr>
                <w:b/>
                <w:bCs/>
                <w:szCs w:val="18"/>
              </w:rPr>
            </w:pPr>
            <w:r>
              <w:rPr>
                <w:b/>
                <w:bCs/>
                <w:szCs w:val="18"/>
              </w:rPr>
              <w:t>Estudo Técnico Preliminar - ETP</w:t>
            </w:r>
          </w:p>
        </w:tc>
      </w:tr>
      <w:tr w:rsidR="009D6A69" w14:paraId="478BBBB2" w14:textId="77777777" w:rsidTr="00CC75F6">
        <w:trPr>
          <w:trHeight w:val="70"/>
        </w:trPr>
        <w:tc>
          <w:tcPr>
            <w:tcW w:w="3079" w:type="dxa"/>
            <w:tcBorders>
              <w:top w:val="single" w:sz="4" w:space="0" w:color="000000"/>
              <w:left w:val="single" w:sz="4" w:space="0" w:color="000000"/>
              <w:bottom w:val="single" w:sz="4" w:space="0" w:color="000000"/>
              <w:right w:val="single" w:sz="4" w:space="0" w:color="000000"/>
            </w:tcBorders>
            <w:vAlign w:val="center"/>
          </w:tcPr>
          <w:p w14:paraId="0FA4466D"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Cfe. disponível no processo </w:t>
            </w:r>
          </w:p>
        </w:tc>
        <w:tc>
          <w:tcPr>
            <w:tcW w:w="3692" w:type="dxa"/>
            <w:tcBorders>
              <w:top w:val="single" w:sz="4" w:space="0" w:color="000000"/>
              <w:left w:val="single" w:sz="4" w:space="0" w:color="000000"/>
              <w:bottom w:val="single" w:sz="4" w:space="0" w:color="000000"/>
              <w:right w:val="single" w:sz="4" w:space="0" w:color="000000"/>
            </w:tcBorders>
            <w:vAlign w:val="center"/>
          </w:tcPr>
          <w:p w14:paraId="2C2E7307" w14:textId="77777777" w:rsidR="009D6A69" w:rsidRDefault="00693092">
            <w:pPr>
              <w:widowControl w:val="0"/>
              <w:ind w:firstLine="0"/>
              <w:jc w:val="left"/>
            </w:pPr>
            <w:proofErr w:type="gramStart"/>
            <w:r>
              <w:rPr>
                <w:sz w:val="16"/>
                <w:szCs w:val="16"/>
              </w:rPr>
              <w:t>( )</w:t>
            </w:r>
            <w:proofErr w:type="gramEnd"/>
            <w:r>
              <w:rPr>
                <w:sz w:val="16"/>
                <w:szCs w:val="16"/>
              </w:rPr>
              <w:t xml:space="preserve"> </w:t>
            </w:r>
            <w:r>
              <w:rPr>
                <w:sz w:val="16"/>
                <w:szCs w:val="16"/>
                <w:u w:val="single"/>
              </w:rPr>
              <w:t>Dispensado</w:t>
            </w:r>
            <w:r>
              <w:rPr>
                <w:sz w:val="16"/>
                <w:szCs w:val="16"/>
              </w:rPr>
              <w:t xml:space="preserve"> (Dec. Munic. 2.130/23, art. 45)</w:t>
            </w:r>
          </w:p>
        </w:tc>
        <w:tc>
          <w:tcPr>
            <w:tcW w:w="3543" w:type="dxa"/>
            <w:tcBorders>
              <w:top w:val="single" w:sz="4" w:space="0" w:color="000000"/>
              <w:left w:val="single" w:sz="4" w:space="0" w:color="000000"/>
              <w:bottom w:val="single" w:sz="4" w:space="0" w:color="000000"/>
              <w:right w:val="single" w:sz="4" w:space="0" w:color="000000"/>
            </w:tcBorders>
            <w:vAlign w:val="center"/>
          </w:tcPr>
          <w:p w14:paraId="0CFFAC90" w14:textId="77777777" w:rsidR="009D6A69" w:rsidRDefault="00693092">
            <w:pPr>
              <w:widowControl w:val="0"/>
              <w:ind w:firstLine="0"/>
              <w:jc w:val="left"/>
            </w:pPr>
            <w:proofErr w:type="gramStart"/>
            <w:r>
              <w:rPr>
                <w:sz w:val="16"/>
                <w:szCs w:val="16"/>
              </w:rPr>
              <w:t>( x</w:t>
            </w:r>
            <w:proofErr w:type="gramEnd"/>
            <w:r>
              <w:rPr>
                <w:sz w:val="16"/>
                <w:szCs w:val="16"/>
              </w:rPr>
              <w:t xml:space="preserve"> ) </w:t>
            </w:r>
            <w:r>
              <w:rPr>
                <w:sz w:val="16"/>
                <w:szCs w:val="16"/>
                <w:u w:val="single"/>
              </w:rPr>
              <w:t>Facultado</w:t>
            </w:r>
            <w:r>
              <w:rPr>
                <w:sz w:val="16"/>
                <w:szCs w:val="16"/>
              </w:rPr>
              <w:t xml:space="preserve"> (Dec. Munic. 2.130/23, art. 46)</w:t>
            </w:r>
          </w:p>
        </w:tc>
      </w:tr>
    </w:tbl>
    <w:p w14:paraId="56AC7C05" w14:textId="77777777" w:rsidR="009D6A69" w:rsidRDefault="009D6A69"/>
    <w:tbl>
      <w:tblPr>
        <w:tblW w:w="10314" w:type="dxa"/>
        <w:tblLayout w:type="fixed"/>
        <w:tblLook w:val="04A0" w:firstRow="1" w:lastRow="0" w:firstColumn="1" w:lastColumn="0" w:noHBand="0" w:noVBand="1"/>
      </w:tblPr>
      <w:tblGrid>
        <w:gridCol w:w="1663"/>
        <w:gridCol w:w="8651"/>
      </w:tblGrid>
      <w:tr w:rsidR="009D6A69" w14:paraId="602A08A5" w14:textId="77777777">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321EBC49" w14:textId="77777777" w:rsidR="009D6A69" w:rsidRDefault="00693092">
            <w:pPr>
              <w:widowControl w:val="0"/>
              <w:ind w:firstLine="0"/>
              <w:jc w:val="center"/>
              <w:rPr>
                <w:b/>
                <w:bCs/>
                <w:szCs w:val="18"/>
              </w:rPr>
            </w:pPr>
            <w:r>
              <w:rPr>
                <w:b/>
                <w:bCs/>
                <w:szCs w:val="18"/>
              </w:rPr>
              <w:t>Fundamento(s) de Fato e de Direito</w:t>
            </w:r>
          </w:p>
        </w:tc>
      </w:tr>
      <w:tr w:rsidR="009D6A69" w14:paraId="7ABE364A" w14:textId="77777777">
        <w:trPr>
          <w:trHeight w:val="163"/>
        </w:trPr>
        <w:tc>
          <w:tcPr>
            <w:tcW w:w="1663" w:type="dxa"/>
            <w:tcBorders>
              <w:top w:val="single" w:sz="4" w:space="0" w:color="000000"/>
              <w:left w:val="single" w:sz="4" w:space="0" w:color="000000"/>
              <w:bottom w:val="single" w:sz="4" w:space="0" w:color="000000"/>
              <w:right w:val="single" w:sz="4" w:space="0" w:color="000000"/>
            </w:tcBorders>
            <w:vAlign w:val="center"/>
          </w:tcPr>
          <w:p w14:paraId="479A90C3" w14:textId="77777777" w:rsidR="009D6A69" w:rsidRDefault="00693092">
            <w:pPr>
              <w:widowControl w:val="0"/>
              <w:ind w:firstLine="0"/>
              <w:jc w:val="left"/>
              <w:rPr>
                <w:sz w:val="16"/>
                <w:szCs w:val="16"/>
              </w:rPr>
            </w:pPr>
            <w:r>
              <w:rPr>
                <w:sz w:val="16"/>
                <w:szCs w:val="16"/>
              </w:rPr>
              <w:t xml:space="preserve">Normas aplicáveis: </w:t>
            </w:r>
          </w:p>
        </w:tc>
        <w:tc>
          <w:tcPr>
            <w:tcW w:w="8650" w:type="dxa"/>
            <w:tcBorders>
              <w:top w:val="single" w:sz="4" w:space="0" w:color="000000"/>
              <w:left w:val="single" w:sz="4" w:space="0" w:color="000000"/>
              <w:bottom w:val="single" w:sz="4" w:space="0" w:color="000000"/>
              <w:right w:val="single" w:sz="4" w:space="0" w:color="000000"/>
            </w:tcBorders>
            <w:vAlign w:val="center"/>
          </w:tcPr>
          <w:p w14:paraId="0FB0551F" w14:textId="3470023B" w:rsidR="009D6A69" w:rsidRDefault="00693092">
            <w:pPr>
              <w:widowControl w:val="0"/>
              <w:ind w:firstLine="0"/>
              <w:jc w:val="left"/>
              <w:rPr>
                <w:sz w:val="16"/>
                <w:szCs w:val="16"/>
              </w:rPr>
            </w:pPr>
            <w:r>
              <w:rPr>
                <w:sz w:val="16"/>
                <w:szCs w:val="16"/>
              </w:rPr>
              <w:t xml:space="preserve">Lei </w:t>
            </w:r>
            <w:r w:rsidR="00CC75F6">
              <w:rPr>
                <w:sz w:val="16"/>
                <w:szCs w:val="16"/>
              </w:rPr>
              <w:t xml:space="preserve">Federal n° </w:t>
            </w:r>
            <w:r>
              <w:rPr>
                <w:sz w:val="16"/>
                <w:szCs w:val="16"/>
              </w:rPr>
              <w:t>14</w:t>
            </w:r>
            <w:r w:rsidR="00CC75F6">
              <w:rPr>
                <w:sz w:val="16"/>
                <w:szCs w:val="16"/>
              </w:rPr>
              <w:t>.</w:t>
            </w:r>
            <w:r>
              <w:rPr>
                <w:sz w:val="16"/>
                <w:szCs w:val="16"/>
              </w:rPr>
              <w:t>133/21</w:t>
            </w:r>
            <w:r w:rsidR="008C620A">
              <w:rPr>
                <w:sz w:val="16"/>
                <w:szCs w:val="16"/>
              </w:rPr>
              <w:t xml:space="preserve"> e Lei Municipal nº 2.659/2025</w:t>
            </w:r>
          </w:p>
        </w:tc>
      </w:tr>
      <w:tr w:rsidR="009D6A69" w14:paraId="1A2C644D" w14:textId="77777777">
        <w:trPr>
          <w:trHeight w:val="422"/>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35C2D006" w14:textId="7FDE9203" w:rsidR="003860DB" w:rsidRPr="008C620A" w:rsidRDefault="003860DB" w:rsidP="003860DB">
            <w:pPr>
              <w:widowControl w:val="0"/>
              <w:ind w:firstLine="0"/>
              <w:rPr>
                <w:sz w:val="16"/>
                <w:szCs w:val="20"/>
              </w:rPr>
            </w:pPr>
            <w:r w:rsidRPr="008C620A">
              <w:rPr>
                <w:sz w:val="16"/>
                <w:szCs w:val="20"/>
              </w:rPr>
              <w:t>A Prefeitura Municipal de Imigrante, por meio da Secretaria Municipal de Cultura, Desporto e Turismo, está organizando o Campeonato Municipal de Futsal 2025, previsto para ter início na segunda quinzena de julho de 2025. O campeonato contemplará até seis categorias: Sub-13, Sub-17, Feminino, Master, Veterano e Livre. O evento faz parte de um conjunto de ações estratégicas voltadas ao incentivo ao esporte, considerado uma das metas prioritárias da atual gestão, em razão de seu impacto direto na promoção da saúde, socialização, convivência comunitária e desenvolvimento psicológico e esportivo, especialmente entre crianças e adolescentes.</w:t>
            </w:r>
          </w:p>
          <w:p w14:paraId="0DB358A4" w14:textId="061B00C8" w:rsidR="003860DB" w:rsidRPr="008C620A" w:rsidRDefault="003860DB" w:rsidP="003860DB">
            <w:pPr>
              <w:widowControl w:val="0"/>
              <w:ind w:firstLine="0"/>
              <w:rPr>
                <w:sz w:val="16"/>
                <w:szCs w:val="20"/>
              </w:rPr>
            </w:pPr>
            <w:r w:rsidRPr="008C620A">
              <w:rPr>
                <w:sz w:val="16"/>
                <w:szCs w:val="20"/>
              </w:rPr>
              <w:t>Visando à realização eficiente do campeonato, será necessária a contratação de empresa especializada para prestação dos serviços de arbitragem, que compreende a atuação de árbitros e mesários qualificados e capacitados para condução técnica dos jogos, assegurando imparcialidade, segurança e organização das partidas. Ademais, será necessário o fornecimento de premiação adequada às categorias participantes, como forma de valorização dos atletas e incentivo à prática esportiva.</w:t>
            </w:r>
          </w:p>
          <w:p w14:paraId="6976C3DF" w14:textId="4DC62776" w:rsidR="003860DB" w:rsidRPr="008C620A" w:rsidRDefault="003860DB" w:rsidP="003860DB">
            <w:pPr>
              <w:widowControl w:val="0"/>
              <w:ind w:firstLine="0"/>
              <w:rPr>
                <w:sz w:val="16"/>
                <w:szCs w:val="20"/>
              </w:rPr>
            </w:pPr>
            <w:r w:rsidRPr="008C620A">
              <w:rPr>
                <w:sz w:val="16"/>
                <w:szCs w:val="20"/>
              </w:rPr>
              <w:t>É importante destacar que o campeonato incluirá categorias de base com atletas menores de 15 anos, o que reforça a responsabilidade do Poder Público em assegurar condições estruturadas, seguras e bem organizadas para a realização do torneio.</w:t>
            </w:r>
          </w:p>
          <w:p w14:paraId="02E339CB" w14:textId="51E23DCF" w:rsidR="003860DB" w:rsidRPr="008C620A" w:rsidRDefault="003860DB" w:rsidP="008C620A">
            <w:pPr>
              <w:widowControl w:val="0"/>
              <w:ind w:firstLine="0"/>
              <w:rPr>
                <w:sz w:val="16"/>
                <w:szCs w:val="20"/>
              </w:rPr>
            </w:pPr>
            <w:r w:rsidRPr="008C620A">
              <w:rPr>
                <w:sz w:val="16"/>
                <w:szCs w:val="20"/>
              </w:rPr>
              <w:t>A contratação proposta encontra amparo legal na Lei Municipal nº 2.659/2025, que altera dispositivos da Lei Municipal nº 2.497/2023, autorizando expressamente a realização de despesas com a organização de eventos esportivos, incluindo:</w:t>
            </w:r>
            <w:r w:rsidR="008C620A" w:rsidRPr="008C620A">
              <w:rPr>
                <w:sz w:val="16"/>
                <w:szCs w:val="20"/>
              </w:rPr>
              <w:t xml:space="preserve"> -</w:t>
            </w:r>
            <w:r w:rsidRPr="008C620A">
              <w:rPr>
                <w:sz w:val="16"/>
                <w:szCs w:val="20"/>
              </w:rPr>
              <w:t xml:space="preserve"> Contratação de equipe de arbitragem especializada;</w:t>
            </w:r>
            <w:r w:rsidR="008C620A" w:rsidRPr="008C620A">
              <w:rPr>
                <w:sz w:val="16"/>
                <w:szCs w:val="20"/>
              </w:rPr>
              <w:t xml:space="preserve"> e a</w:t>
            </w:r>
            <w:r w:rsidRPr="008C620A">
              <w:rPr>
                <w:sz w:val="16"/>
                <w:szCs w:val="20"/>
              </w:rPr>
              <w:t xml:space="preserve"> Aquisição e fornecimento de premiação</w:t>
            </w:r>
            <w:r w:rsidR="008C620A" w:rsidRPr="008C620A">
              <w:rPr>
                <w:sz w:val="16"/>
                <w:szCs w:val="20"/>
              </w:rPr>
              <w:t>;</w:t>
            </w:r>
            <w:r w:rsidRPr="008C620A">
              <w:rPr>
                <w:sz w:val="16"/>
                <w:szCs w:val="20"/>
              </w:rPr>
              <w:t xml:space="preserve"> (troféus, medalhas, entre outros itens).</w:t>
            </w:r>
          </w:p>
          <w:p w14:paraId="6D57BA8F" w14:textId="54156F12" w:rsidR="003860DB" w:rsidRPr="008C620A" w:rsidRDefault="003860DB" w:rsidP="008C620A">
            <w:pPr>
              <w:widowControl w:val="0"/>
              <w:ind w:firstLine="0"/>
              <w:rPr>
                <w:sz w:val="16"/>
                <w:szCs w:val="20"/>
              </w:rPr>
            </w:pPr>
            <w:r w:rsidRPr="008C620A">
              <w:rPr>
                <w:sz w:val="16"/>
                <w:szCs w:val="20"/>
              </w:rPr>
              <w:t>A referida legislação municipal estabelece diretrizes específicas para a promoção do esporte como política pública e autoriza a aplicação de recursos públicos para a viabilização de eventos que atendam ao interesse coletivo, promovam o bem-estar social e incentivem a prática esportiva regular, em especial entre jovens e adolescentes.</w:t>
            </w:r>
          </w:p>
          <w:p w14:paraId="75B17A35" w14:textId="77777777" w:rsidR="003860DB" w:rsidRPr="008C620A" w:rsidRDefault="003860DB" w:rsidP="008C620A">
            <w:pPr>
              <w:widowControl w:val="0"/>
              <w:ind w:firstLine="0"/>
              <w:rPr>
                <w:sz w:val="16"/>
                <w:szCs w:val="20"/>
              </w:rPr>
            </w:pPr>
            <w:r w:rsidRPr="008C620A">
              <w:rPr>
                <w:sz w:val="16"/>
                <w:szCs w:val="20"/>
              </w:rPr>
              <w:t>Conforme o art. 1º da Lei Municipal nº 2.659/2025:</w:t>
            </w:r>
          </w:p>
          <w:p w14:paraId="34AA3825" w14:textId="77777777" w:rsidR="003860DB" w:rsidRPr="008C620A" w:rsidRDefault="003860DB" w:rsidP="003860DB">
            <w:pPr>
              <w:widowControl w:val="0"/>
              <w:rPr>
                <w:sz w:val="16"/>
                <w:szCs w:val="20"/>
              </w:rPr>
            </w:pPr>
          </w:p>
          <w:p w14:paraId="0138A4B5" w14:textId="77777777" w:rsidR="003860DB" w:rsidRPr="008C620A" w:rsidRDefault="003860DB" w:rsidP="003860DB">
            <w:pPr>
              <w:widowControl w:val="0"/>
              <w:rPr>
                <w:sz w:val="16"/>
                <w:szCs w:val="20"/>
              </w:rPr>
            </w:pPr>
            <w:r w:rsidRPr="008C620A">
              <w:rPr>
                <w:sz w:val="16"/>
                <w:szCs w:val="20"/>
              </w:rPr>
              <w:t>&gt; "Fica o Poder Executivo autorizado a realizar despesas com a execução de eventos esportivos promovidos no âmbito do Município, incluindo a contratação de serviços de arbitragem, premiação e logística necessária para sua execução."</w:t>
            </w:r>
          </w:p>
          <w:p w14:paraId="75136F3E" w14:textId="77777777" w:rsidR="003860DB" w:rsidRPr="008C620A" w:rsidRDefault="003860DB" w:rsidP="003860DB">
            <w:pPr>
              <w:widowControl w:val="0"/>
              <w:rPr>
                <w:sz w:val="16"/>
                <w:szCs w:val="20"/>
              </w:rPr>
            </w:pPr>
          </w:p>
          <w:p w14:paraId="059FA646" w14:textId="7A53906E" w:rsidR="003860DB" w:rsidRPr="008C620A" w:rsidRDefault="003860DB" w:rsidP="008C620A">
            <w:pPr>
              <w:widowControl w:val="0"/>
              <w:ind w:firstLine="0"/>
              <w:rPr>
                <w:sz w:val="16"/>
                <w:szCs w:val="20"/>
              </w:rPr>
            </w:pPr>
            <w:r w:rsidRPr="008C620A">
              <w:rPr>
                <w:sz w:val="16"/>
                <w:szCs w:val="20"/>
              </w:rPr>
              <w:t>Tal contratação também se coaduna com os princípios constitucionais da administração pública (art. 37 da CF/88), em especial os princípios da eficiência e interesse público, uma vez que visa assegurar a qualidade e a legalidade dos serviços prestados à população.</w:t>
            </w:r>
          </w:p>
          <w:p w14:paraId="04786968" w14:textId="760B5E75" w:rsidR="003860DB" w:rsidRPr="008C620A" w:rsidRDefault="003860DB" w:rsidP="008C620A">
            <w:pPr>
              <w:widowControl w:val="0"/>
              <w:ind w:firstLine="0"/>
              <w:rPr>
                <w:sz w:val="16"/>
                <w:szCs w:val="20"/>
              </w:rPr>
            </w:pPr>
            <w:r w:rsidRPr="008C620A">
              <w:rPr>
                <w:sz w:val="16"/>
                <w:szCs w:val="20"/>
              </w:rPr>
              <w:t xml:space="preserve">A medida também é respaldada pela Lei nº </w:t>
            </w:r>
            <w:r w:rsidR="008C620A" w:rsidRPr="008C620A">
              <w:rPr>
                <w:sz w:val="16"/>
                <w:szCs w:val="20"/>
              </w:rPr>
              <w:t>14</w:t>
            </w:r>
            <w:r w:rsidRPr="008C620A">
              <w:rPr>
                <w:sz w:val="16"/>
                <w:szCs w:val="20"/>
              </w:rPr>
              <w:t>.</w:t>
            </w:r>
            <w:r w:rsidR="008C620A" w:rsidRPr="008C620A">
              <w:rPr>
                <w:sz w:val="16"/>
                <w:szCs w:val="20"/>
              </w:rPr>
              <w:t>133</w:t>
            </w:r>
            <w:r w:rsidRPr="008C620A">
              <w:rPr>
                <w:sz w:val="16"/>
                <w:szCs w:val="20"/>
              </w:rPr>
              <w:t>/</w:t>
            </w:r>
            <w:r w:rsidR="008C620A" w:rsidRPr="008C620A">
              <w:rPr>
                <w:sz w:val="16"/>
                <w:szCs w:val="20"/>
              </w:rPr>
              <w:t xml:space="preserve">2021, </w:t>
            </w:r>
            <w:r w:rsidRPr="008C620A">
              <w:rPr>
                <w:sz w:val="16"/>
                <w:szCs w:val="20"/>
              </w:rPr>
              <w:t>a depender do regime adotado pelo município, desde que observados os princípios da legalidade, impessoalidade, moralidade, publicidade e eficiência, bem como a adequada justificativa de preços e de escolha da empresa contratada.</w:t>
            </w:r>
          </w:p>
          <w:p w14:paraId="672E610B" w14:textId="77777777" w:rsidR="003860DB" w:rsidRPr="008C620A" w:rsidRDefault="003860DB" w:rsidP="008C620A">
            <w:pPr>
              <w:widowControl w:val="0"/>
              <w:ind w:firstLine="0"/>
              <w:rPr>
                <w:sz w:val="16"/>
                <w:szCs w:val="20"/>
              </w:rPr>
            </w:pPr>
            <w:r w:rsidRPr="008C620A">
              <w:rPr>
                <w:sz w:val="16"/>
                <w:szCs w:val="20"/>
              </w:rPr>
              <w:t>Além disso, o art. 217 da Constituição Federal dispõe:</w:t>
            </w:r>
          </w:p>
          <w:p w14:paraId="794DC3BA" w14:textId="77777777" w:rsidR="003860DB" w:rsidRPr="008C620A" w:rsidRDefault="003860DB" w:rsidP="003860DB">
            <w:pPr>
              <w:widowControl w:val="0"/>
              <w:rPr>
                <w:sz w:val="16"/>
                <w:szCs w:val="20"/>
              </w:rPr>
            </w:pPr>
          </w:p>
          <w:p w14:paraId="375AA384" w14:textId="77777777" w:rsidR="003860DB" w:rsidRPr="008C620A" w:rsidRDefault="003860DB" w:rsidP="003860DB">
            <w:pPr>
              <w:widowControl w:val="0"/>
              <w:rPr>
                <w:sz w:val="16"/>
                <w:szCs w:val="20"/>
              </w:rPr>
            </w:pPr>
            <w:r w:rsidRPr="008C620A">
              <w:rPr>
                <w:sz w:val="16"/>
                <w:szCs w:val="20"/>
              </w:rPr>
              <w:t>&gt; “É dever do Estado fomentar práticas desportivas formais e não-formais, como direito de cada um, observados:</w:t>
            </w:r>
          </w:p>
          <w:p w14:paraId="2B3FDCFD" w14:textId="77777777" w:rsidR="003860DB" w:rsidRPr="008C620A" w:rsidRDefault="003860DB" w:rsidP="003860DB">
            <w:pPr>
              <w:widowControl w:val="0"/>
              <w:rPr>
                <w:sz w:val="16"/>
                <w:szCs w:val="20"/>
              </w:rPr>
            </w:pPr>
            <w:r w:rsidRPr="008C620A">
              <w:rPr>
                <w:sz w:val="16"/>
                <w:szCs w:val="20"/>
              </w:rPr>
              <w:t>&gt; I – a autonomia das entidades desportivas dirigentes e associações, quanto à sua organização e funcionamento;</w:t>
            </w:r>
          </w:p>
          <w:p w14:paraId="4C0DAE2D" w14:textId="77777777" w:rsidR="003860DB" w:rsidRPr="008C620A" w:rsidRDefault="003860DB" w:rsidP="003860DB">
            <w:pPr>
              <w:widowControl w:val="0"/>
              <w:rPr>
                <w:sz w:val="16"/>
                <w:szCs w:val="20"/>
              </w:rPr>
            </w:pPr>
            <w:r w:rsidRPr="008C620A">
              <w:rPr>
                <w:sz w:val="16"/>
                <w:szCs w:val="20"/>
              </w:rPr>
              <w:t>&gt; II – a destinação de recursos públicos para promoção prioritária do desporto educacional, em vista do bem coletivo.”</w:t>
            </w:r>
          </w:p>
          <w:p w14:paraId="31917536" w14:textId="77777777" w:rsidR="008C620A" w:rsidRPr="008C620A" w:rsidRDefault="008C620A" w:rsidP="008C620A">
            <w:pPr>
              <w:widowControl w:val="0"/>
              <w:ind w:firstLine="0"/>
              <w:rPr>
                <w:sz w:val="16"/>
                <w:szCs w:val="20"/>
              </w:rPr>
            </w:pPr>
          </w:p>
          <w:p w14:paraId="6E359F47" w14:textId="55282B21" w:rsidR="003860DB" w:rsidRDefault="003860DB" w:rsidP="008C620A">
            <w:pPr>
              <w:widowControl w:val="0"/>
              <w:ind w:firstLine="0"/>
            </w:pPr>
            <w:r w:rsidRPr="008C620A">
              <w:rPr>
                <w:sz w:val="16"/>
                <w:szCs w:val="20"/>
              </w:rPr>
              <w:t>Diante do exposto, a contratação de empresa especializada para a prestação dos serviços de arbitragem e o fornecimento de premiação para o Campeonato Municipal de Futsal 2025 revela-se plenamente justificada, legal e necessária, atendendo ao interesse público, à legislação municipal vigente e às diretrizes constitucionais sobre a promoção do esporte como instrumento de inclusão social e formação cidadã.</w:t>
            </w:r>
            <w:r w:rsidR="008C620A" w:rsidRPr="008C620A">
              <w:rPr>
                <w:sz w:val="16"/>
                <w:szCs w:val="20"/>
              </w:rPr>
              <w:t xml:space="preserve"> </w:t>
            </w:r>
            <w:r w:rsidRPr="008C620A">
              <w:rPr>
                <w:sz w:val="16"/>
                <w:szCs w:val="20"/>
              </w:rPr>
              <w:t>A medida contribuirá significativamente para o fortalecimento das políticas públicas de esporte, estimulando a participação da comunidade, principalmente das crianças e adolescentes, além de garantir a organização técnica do evento e sua legitimidade desportiva.</w:t>
            </w:r>
          </w:p>
        </w:tc>
      </w:tr>
    </w:tbl>
    <w:p w14:paraId="34109B0A" w14:textId="77777777" w:rsidR="009D6A69" w:rsidRDefault="00693092">
      <w:pPr>
        <w:pStyle w:val="Ttulo1"/>
      </w:pPr>
      <w:r>
        <w:t xml:space="preserve"> Descrição da Solução Como Um Todo Considerando o(s) Ciclo(s) de Vida do(s) Objeto(s)</w:t>
      </w:r>
    </w:p>
    <w:tbl>
      <w:tblPr>
        <w:tblW w:w="10314" w:type="dxa"/>
        <w:tblLayout w:type="fixed"/>
        <w:tblLook w:val="04A0" w:firstRow="1" w:lastRow="0" w:firstColumn="1" w:lastColumn="0" w:noHBand="0" w:noVBand="1"/>
      </w:tblPr>
      <w:tblGrid>
        <w:gridCol w:w="10314"/>
      </w:tblGrid>
      <w:tr w:rsidR="009D6A69" w14:paraId="593A992C" w14:textId="77777777">
        <w:trPr>
          <w:trHeight w:val="493"/>
        </w:trPr>
        <w:tc>
          <w:tcPr>
            <w:tcW w:w="10314" w:type="dxa"/>
            <w:tcBorders>
              <w:top w:val="single" w:sz="4" w:space="0" w:color="000000"/>
              <w:left w:val="single" w:sz="4" w:space="0" w:color="000000"/>
              <w:bottom w:val="single" w:sz="4" w:space="0" w:color="000000"/>
              <w:right w:val="single" w:sz="4" w:space="0" w:color="000000"/>
            </w:tcBorders>
            <w:vAlign w:val="center"/>
          </w:tcPr>
          <w:p w14:paraId="41090581" w14:textId="710A8734" w:rsidR="008C620A" w:rsidRPr="008C620A" w:rsidRDefault="008C620A" w:rsidP="008C620A">
            <w:pPr>
              <w:widowControl w:val="0"/>
              <w:ind w:firstLine="0"/>
              <w:rPr>
                <w:sz w:val="16"/>
                <w:szCs w:val="16"/>
              </w:rPr>
            </w:pPr>
            <w:r w:rsidRPr="008C620A">
              <w:rPr>
                <w:sz w:val="16"/>
                <w:szCs w:val="16"/>
              </w:rPr>
              <w:t>A presente contratação tem por finalidade a contratação de empresa especializada para prestação dos serviços de equipe de arbitragem para o Campeonato Municipal de Futsal 2025</w:t>
            </w:r>
            <w:r>
              <w:rPr>
                <w:sz w:val="16"/>
                <w:szCs w:val="16"/>
              </w:rPr>
              <w:t xml:space="preserve">. </w:t>
            </w:r>
            <w:r w:rsidRPr="008C620A">
              <w:rPr>
                <w:sz w:val="16"/>
                <w:szCs w:val="16"/>
              </w:rPr>
              <w:t>O campeonato está previsto para iniciar na segunda quinzena do mês de julho de 2025 e poderá abranger até seis categorias distintas, sendo elas:</w:t>
            </w:r>
            <w:r>
              <w:rPr>
                <w:sz w:val="16"/>
                <w:szCs w:val="16"/>
              </w:rPr>
              <w:t xml:space="preserve"> </w:t>
            </w:r>
            <w:r w:rsidRPr="008C620A">
              <w:rPr>
                <w:sz w:val="16"/>
                <w:szCs w:val="16"/>
              </w:rPr>
              <w:t>Sub-13,</w:t>
            </w:r>
            <w:r>
              <w:rPr>
                <w:sz w:val="16"/>
                <w:szCs w:val="16"/>
              </w:rPr>
              <w:t xml:space="preserve"> </w:t>
            </w:r>
            <w:r w:rsidRPr="008C620A">
              <w:rPr>
                <w:sz w:val="16"/>
                <w:szCs w:val="16"/>
              </w:rPr>
              <w:t>Sub-17,</w:t>
            </w:r>
            <w:r>
              <w:rPr>
                <w:sz w:val="16"/>
                <w:szCs w:val="16"/>
              </w:rPr>
              <w:t xml:space="preserve"> </w:t>
            </w:r>
            <w:r w:rsidRPr="008C620A">
              <w:rPr>
                <w:sz w:val="16"/>
                <w:szCs w:val="16"/>
              </w:rPr>
              <w:t>Feminino,</w:t>
            </w:r>
            <w:r>
              <w:rPr>
                <w:sz w:val="16"/>
                <w:szCs w:val="16"/>
              </w:rPr>
              <w:t xml:space="preserve"> </w:t>
            </w:r>
            <w:r w:rsidRPr="008C620A">
              <w:rPr>
                <w:sz w:val="16"/>
                <w:szCs w:val="16"/>
              </w:rPr>
              <w:t>Master,</w:t>
            </w:r>
            <w:r>
              <w:rPr>
                <w:sz w:val="16"/>
                <w:szCs w:val="16"/>
              </w:rPr>
              <w:t xml:space="preserve"> </w:t>
            </w:r>
            <w:r w:rsidRPr="008C620A">
              <w:rPr>
                <w:sz w:val="16"/>
                <w:szCs w:val="16"/>
              </w:rPr>
              <w:t>Veterano,</w:t>
            </w:r>
            <w:r>
              <w:rPr>
                <w:sz w:val="16"/>
                <w:szCs w:val="16"/>
              </w:rPr>
              <w:t xml:space="preserve"> </w:t>
            </w:r>
            <w:r w:rsidRPr="008C620A">
              <w:rPr>
                <w:sz w:val="16"/>
                <w:szCs w:val="16"/>
              </w:rPr>
              <w:t>Livre.</w:t>
            </w:r>
          </w:p>
          <w:p w14:paraId="30419043" w14:textId="77777777" w:rsidR="008C620A" w:rsidRPr="008C620A" w:rsidRDefault="008C620A" w:rsidP="008C620A">
            <w:pPr>
              <w:widowControl w:val="0"/>
              <w:ind w:firstLine="0"/>
              <w:rPr>
                <w:sz w:val="16"/>
                <w:szCs w:val="16"/>
              </w:rPr>
            </w:pPr>
            <w:r w:rsidRPr="008C620A">
              <w:rPr>
                <w:sz w:val="16"/>
                <w:szCs w:val="16"/>
              </w:rPr>
              <w:t>O evento integra o conjunto de ações estratégicas da gestão municipal voltadas à promoção e incentivo ao esporte, reconhecendo-o como ferramenta essencial de inclusão social, saúde, convivência comunitária, desenvolvimento pessoal e formação de valores, especialmente entre crianças e adolescentes. O campeonato será um espaço de convivência e aprendizado entre atletas de diferentes idades, promovendo a integração social por meio da prática esportiva.</w:t>
            </w:r>
          </w:p>
          <w:p w14:paraId="5104DE4D" w14:textId="10546838" w:rsidR="008C620A" w:rsidRPr="008C620A" w:rsidRDefault="008C620A" w:rsidP="008C620A">
            <w:pPr>
              <w:widowControl w:val="0"/>
              <w:ind w:firstLine="0"/>
              <w:rPr>
                <w:sz w:val="16"/>
                <w:szCs w:val="16"/>
              </w:rPr>
            </w:pPr>
            <w:r w:rsidRPr="008C620A">
              <w:rPr>
                <w:sz w:val="16"/>
                <w:szCs w:val="16"/>
              </w:rPr>
              <w:t>Para garantir a qualidade, isonomia, segurança e regularidade técnica dos jogos, a contratação visa assegurar a presença de uma equipe de arbitragem qualificada, composta por:</w:t>
            </w:r>
            <w:r>
              <w:rPr>
                <w:sz w:val="16"/>
                <w:szCs w:val="16"/>
              </w:rPr>
              <w:t xml:space="preserve"> </w:t>
            </w:r>
            <w:r w:rsidRPr="008C620A">
              <w:rPr>
                <w:sz w:val="16"/>
                <w:szCs w:val="16"/>
              </w:rPr>
              <w:t xml:space="preserve">Árbitros </w:t>
            </w:r>
            <w:r>
              <w:rPr>
                <w:sz w:val="16"/>
                <w:szCs w:val="16"/>
              </w:rPr>
              <w:t>federados</w:t>
            </w:r>
            <w:r w:rsidRPr="008C620A">
              <w:rPr>
                <w:sz w:val="16"/>
                <w:szCs w:val="16"/>
              </w:rPr>
              <w:t>,</w:t>
            </w:r>
            <w:r>
              <w:rPr>
                <w:sz w:val="16"/>
                <w:szCs w:val="16"/>
              </w:rPr>
              <w:t xml:space="preserve"> </w:t>
            </w:r>
            <w:r w:rsidRPr="008C620A">
              <w:rPr>
                <w:sz w:val="16"/>
                <w:szCs w:val="16"/>
              </w:rPr>
              <w:t>Mesários ou responsáveis pela súmula e cronômetro.</w:t>
            </w:r>
          </w:p>
          <w:p w14:paraId="42D111E7" w14:textId="77777777" w:rsidR="008C620A" w:rsidRPr="008C620A" w:rsidRDefault="008C620A" w:rsidP="008C620A">
            <w:pPr>
              <w:widowControl w:val="0"/>
              <w:ind w:firstLine="0"/>
              <w:rPr>
                <w:sz w:val="16"/>
                <w:szCs w:val="16"/>
              </w:rPr>
            </w:pPr>
            <w:r w:rsidRPr="008C620A">
              <w:rPr>
                <w:sz w:val="16"/>
                <w:szCs w:val="16"/>
              </w:rPr>
              <w:t>A empresa contratada deverá:</w:t>
            </w:r>
          </w:p>
          <w:p w14:paraId="08187D62" w14:textId="3DEBAF2E" w:rsidR="008C620A" w:rsidRPr="008C620A" w:rsidRDefault="008C620A" w:rsidP="008C620A">
            <w:pPr>
              <w:widowControl w:val="0"/>
              <w:ind w:firstLine="0"/>
              <w:rPr>
                <w:sz w:val="16"/>
                <w:szCs w:val="16"/>
              </w:rPr>
            </w:pPr>
            <w:r>
              <w:rPr>
                <w:sz w:val="16"/>
                <w:szCs w:val="16"/>
              </w:rPr>
              <w:t xml:space="preserve">- </w:t>
            </w:r>
            <w:r w:rsidRPr="008C620A">
              <w:rPr>
                <w:sz w:val="16"/>
                <w:szCs w:val="16"/>
              </w:rPr>
              <w:t xml:space="preserve">Disponibilizar profissionais com capacitação comprovada </w:t>
            </w:r>
            <w:r>
              <w:rPr>
                <w:sz w:val="16"/>
                <w:szCs w:val="16"/>
              </w:rPr>
              <w:t>na federação</w:t>
            </w:r>
            <w:r w:rsidRPr="008C620A">
              <w:rPr>
                <w:sz w:val="16"/>
                <w:szCs w:val="16"/>
              </w:rPr>
              <w:t>;</w:t>
            </w:r>
          </w:p>
          <w:p w14:paraId="35CADD5D" w14:textId="45BD3621" w:rsidR="008C620A" w:rsidRPr="008C620A" w:rsidRDefault="008C620A" w:rsidP="008C620A">
            <w:pPr>
              <w:widowControl w:val="0"/>
              <w:ind w:firstLine="0"/>
              <w:rPr>
                <w:sz w:val="16"/>
                <w:szCs w:val="16"/>
              </w:rPr>
            </w:pPr>
            <w:r>
              <w:rPr>
                <w:sz w:val="16"/>
                <w:szCs w:val="16"/>
              </w:rPr>
              <w:t xml:space="preserve">- </w:t>
            </w:r>
            <w:r w:rsidRPr="008C620A">
              <w:rPr>
                <w:sz w:val="16"/>
                <w:szCs w:val="16"/>
              </w:rPr>
              <w:t>Realizar a escala e deslocamento da equipe de arbitragem conforme a tabela de jogos organizada pela comissão do campeonato;</w:t>
            </w:r>
          </w:p>
          <w:p w14:paraId="50070E3D" w14:textId="4FA04DCB" w:rsidR="008C620A" w:rsidRPr="008C620A" w:rsidRDefault="008C620A" w:rsidP="008C620A">
            <w:pPr>
              <w:widowControl w:val="0"/>
              <w:ind w:firstLine="0"/>
              <w:rPr>
                <w:sz w:val="16"/>
                <w:szCs w:val="16"/>
              </w:rPr>
            </w:pPr>
            <w:r>
              <w:rPr>
                <w:sz w:val="16"/>
                <w:szCs w:val="16"/>
              </w:rPr>
              <w:t xml:space="preserve">- </w:t>
            </w:r>
            <w:r w:rsidRPr="008C620A">
              <w:rPr>
                <w:sz w:val="16"/>
                <w:szCs w:val="16"/>
              </w:rPr>
              <w:t>Fornecer materiais de apoio necessários para a execução da arbitragem (como apitos, cartões, súmulas, cronômetros e outros).</w:t>
            </w:r>
          </w:p>
          <w:p w14:paraId="36F7105B" w14:textId="77777777" w:rsidR="008C620A" w:rsidRDefault="008C620A" w:rsidP="008C620A">
            <w:pPr>
              <w:widowControl w:val="0"/>
              <w:ind w:firstLine="0"/>
              <w:rPr>
                <w:sz w:val="16"/>
                <w:szCs w:val="16"/>
              </w:rPr>
            </w:pPr>
          </w:p>
          <w:p w14:paraId="344A6267" w14:textId="53D53FA2" w:rsidR="008C620A" w:rsidRDefault="008C620A" w:rsidP="008C620A">
            <w:pPr>
              <w:widowControl w:val="0"/>
              <w:ind w:firstLine="0"/>
              <w:rPr>
                <w:sz w:val="16"/>
                <w:szCs w:val="16"/>
              </w:rPr>
            </w:pPr>
            <w:r w:rsidRPr="008C620A">
              <w:rPr>
                <w:sz w:val="16"/>
                <w:szCs w:val="16"/>
              </w:rPr>
              <w:t>A contratação será realizada com base na Lei Municipal nº 2.659/2025, que altera dispositivos da Lei Municipal nº 2.497/2023, autorizando expressamente a realização de despesas com eventos esportivos, incluindo a contratação de equipe de arbitragem como forma de garantir a legalidade, eficiência e organização dos campeonatos promovidos no âmbito do município.</w:t>
            </w:r>
          </w:p>
          <w:p w14:paraId="1CB48336" w14:textId="77777777" w:rsidR="008C620A" w:rsidRDefault="008C620A" w:rsidP="008C620A">
            <w:pPr>
              <w:widowControl w:val="0"/>
              <w:ind w:firstLine="0"/>
              <w:rPr>
                <w:sz w:val="16"/>
                <w:szCs w:val="16"/>
              </w:rPr>
            </w:pPr>
            <w:r w:rsidRPr="008C620A">
              <w:rPr>
                <w:sz w:val="16"/>
                <w:szCs w:val="16"/>
              </w:rPr>
              <w:lastRenderedPageBreak/>
              <w:t>A solução proposta visa assegurar a execução adequada do Campeonato Municipal de Futsal 2025, atendendo ao interesse público e fortalecendo as políticas municipais de valorização do esporte como direito social e instrumento de formação cidadã.</w:t>
            </w:r>
          </w:p>
          <w:p w14:paraId="7C18A9E4" w14:textId="2CF47FAA" w:rsidR="00670FD4" w:rsidRDefault="00670FD4" w:rsidP="008C620A">
            <w:pPr>
              <w:widowControl w:val="0"/>
              <w:ind w:firstLine="0"/>
              <w:rPr>
                <w:sz w:val="16"/>
                <w:szCs w:val="16"/>
              </w:rPr>
            </w:pPr>
            <w:r w:rsidRPr="00670FD4">
              <w:rPr>
                <w:sz w:val="16"/>
                <w:szCs w:val="16"/>
              </w:rPr>
              <w:t>Contratação de empresa para prestação dos serviços de equipe de arbitragem, conforme Lei Municipal n.º 2.659/2025 que altera dispositivos da Lei Municipal 2497/2023, para o Campeonato Municipal de Futsal 2025, que poderá ter até seis categorias (Sub13, Sub17, feminino, master, veterano e livre). Início do campeonato previsto para o mês de julho/2025. Estimativa de até 18 (dezoito) rodadas, incluindo três árbitros e um mesário por rodada, além de um segurança por jogo na fase classificatória. Na final, serão três árbitros, um mesário e dois seguranças.</w:t>
            </w:r>
          </w:p>
        </w:tc>
      </w:tr>
    </w:tbl>
    <w:p w14:paraId="381304E0" w14:textId="77777777" w:rsidR="009D6A69" w:rsidRDefault="00693092">
      <w:pPr>
        <w:pStyle w:val="Ttulo1"/>
      </w:pPr>
      <w:r>
        <w:lastRenderedPageBreak/>
        <w:t>Requisitos da Contratação (Especificação do Item)</w:t>
      </w:r>
    </w:p>
    <w:tbl>
      <w:tblPr>
        <w:tblW w:w="10314" w:type="dxa"/>
        <w:tblLayout w:type="fixed"/>
        <w:tblLook w:val="04A0" w:firstRow="1" w:lastRow="0" w:firstColumn="1" w:lastColumn="0" w:noHBand="0" w:noVBand="1"/>
      </w:tblPr>
      <w:tblGrid>
        <w:gridCol w:w="10314"/>
      </w:tblGrid>
      <w:tr w:rsidR="009D6A69" w14:paraId="6C14EE62" w14:textId="77777777" w:rsidTr="00CC75F6">
        <w:trPr>
          <w:trHeight w:val="81"/>
        </w:trPr>
        <w:tc>
          <w:tcPr>
            <w:tcW w:w="10314" w:type="dxa"/>
            <w:tcBorders>
              <w:top w:val="single" w:sz="4" w:space="0" w:color="000000"/>
              <w:left w:val="single" w:sz="4" w:space="0" w:color="000000"/>
              <w:bottom w:val="single" w:sz="4" w:space="0" w:color="000000"/>
              <w:right w:val="single" w:sz="4" w:space="0" w:color="000000"/>
            </w:tcBorders>
            <w:vAlign w:val="center"/>
          </w:tcPr>
          <w:p w14:paraId="7B218345" w14:textId="77777777" w:rsidR="00693092" w:rsidRPr="008C620A" w:rsidRDefault="00693092" w:rsidP="00693092">
            <w:pPr>
              <w:widowControl w:val="0"/>
              <w:ind w:firstLine="0"/>
              <w:rPr>
                <w:sz w:val="16"/>
                <w:szCs w:val="16"/>
              </w:rPr>
            </w:pPr>
            <w:r w:rsidRPr="008C620A">
              <w:rPr>
                <w:sz w:val="16"/>
                <w:szCs w:val="16"/>
              </w:rPr>
              <w:t>A empresa contratada deverá:</w:t>
            </w:r>
          </w:p>
          <w:p w14:paraId="4FB5EDAB" w14:textId="6FF51B90" w:rsidR="00693092" w:rsidRPr="008C620A" w:rsidRDefault="00693092" w:rsidP="00693092">
            <w:pPr>
              <w:widowControl w:val="0"/>
              <w:ind w:firstLine="0"/>
              <w:rPr>
                <w:sz w:val="16"/>
                <w:szCs w:val="16"/>
              </w:rPr>
            </w:pPr>
            <w:r>
              <w:rPr>
                <w:sz w:val="16"/>
                <w:szCs w:val="16"/>
              </w:rPr>
              <w:t xml:space="preserve">- </w:t>
            </w:r>
            <w:r w:rsidRPr="008C620A">
              <w:rPr>
                <w:sz w:val="16"/>
                <w:szCs w:val="16"/>
              </w:rPr>
              <w:t xml:space="preserve">Disponibilizar profissionais com capacitação comprovada </w:t>
            </w:r>
            <w:r>
              <w:rPr>
                <w:sz w:val="16"/>
                <w:szCs w:val="16"/>
              </w:rPr>
              <w:t xml:space="preserve">na federação, na Liga Gaúcha de Futsal; </w:t>
            </w:r>
          </w:p>
          <w:p w14:paraId="116B9FDA" w14:textId="77777777" w:rsidR="00693092" w:rsidRPr="008C620A" w:rsidRDefault="00693092" w:rsidP="00693092">
            <w:pPr>
              <w:widowControl w:val="0"/>
              <w:ind w:firstLine="0"/>
              <w:rPr>
                <w:sz w:val="16"/>
                <w:szCs w:val="16"/>
              </w:rPr>
            </w:pPr>
            <w:r>
              <w:rPr>
                <w:sz w:val="16"/>
                <w:szCs w:val="16"/>
              </w:rPr>
              <w:t xml:space="preserve">- </w:t>
            </w:r>
            <w:r w:rsidRPr="008C620A">
              <w:rPr>
                <w:sz w:val="16"/>
                <w:szCs w:val="16"/>
              </w:rPr>
              <w:t>Realizar a escala e deslocamento da equipe de arbitragem conforme a tabela de jogos organizada pela comissão do campeonato;</w:t>
            </w:r>
          </w:p>
          <w:p w14:paraId="36A9A26E" w14:textId="77777777" w:rsidR="009D6A69" w:rsidRDefault="00693092" w:rsidP="00693092">
            <w:pPr>
              <w:widowControl w:val="0"/>
              <w:ind w:firstLine="0"/>
              <w:rPr>
                <w:sz w:val="16"/>
                <w:szCs w:val="16"/>
              </w:rPr>
            </w:pPr>
            <w:r>
              <w:rPr>
                <w:sz w:val="16"/>
                <w:szCs w:val="16"/>
              </w:rPr>
              <w:t xml:space="preserve">- </w:t>
            </w:r>
            <w:r w:rsidRPr="008C620A">
              <w:rPr>
                <w:sz w:val="16"/>
                <w:szCs w:val="16"/>
              </w:rPr>
              <w:t>Fornecer materiais de apoio necessários para a execução da arbitragem (como apitos, cartões, súmulas, cronômetros e outros).</w:t>
            </w:r>
          </w:p>
          <w:p w14:paraId="4CAEE1B0" w14:textId="27402883" w:rsidR="00670FD4" w:rsidRPr="00693092" w:rsidRDefault="00670FD4" w:rsidP="00670FD4">
            <w:pPr>
              <w:widowControl w:val="0"/>
              <w:ind w:firstLine="0"/>
              <w:rPr>
                <w:sz w:val="16"/>
                <w:szCs w:val="16"/>
              </w:rPr>
            </w:pPr>
            <w:r>
              <w:rPr>
                <w:sz w:val="16"/>
                <w:szCs w:val="16"/>
              </w:rPr>
              <w:t xml:space="preserve">- </w:t>
            </w:r>
            <w:r w:rsidRPr="00670FD4">
              <w:rPr>
                <w:sz w:val="16"/>
                <w:szCs w:val="16"/>
              </w:rPr>
              <w:t>Contratação de empresa para prestação dos serviços de equipe de arbitragem, conforme Lei Municipal n.º 2.659/2025 que altera dispositivos da Lei Municipal 2497/2023, para o Campeonato Municipal de Futsal 2025, que poderá ter até seis categorias (Sub13, Sub17, feminino, master, veterano e livre). Início do campeonato previsto para o mês de julho/2025. Estimativa de até 18 (dezoito) rodadas, incluindo três árbitros e um mesário por rodada, além de um segurança por jogo na fase classificatória. Na final, serão três árbitros, um mesário e dois seguranças.</w:t>
            </w:r>
          </w:p>
        </w:tc>
      </w:tr>
    </w:tbl>
    <w:p w14:paraId="7A0A1072" w14:textId="77777777" w:rsidR="009D6A69" w:rsidRDefault="00693092">
      <w:pPr>
        <w:pStyle w:val="Ttulo1"/>
      </w:pPr>
      <w:r>
        <w:t>Indicação(ões) de Marca(s) e Necessidade de Amostra e/ou Teste de Conformidade</w:t>
      </w:r>
    </w:p>
    <w:tbl>
      <w:tblPr>
        <w:tblW w:w="10314" w:type="dxa"/>
        <w:tblLayout w:type="fixed"/>
        <w:tblLook w:val="04A0" w:firstRow="1" w:lastRow="0" w:firstColumn="1" w:lastColumn="0" w:noHBand="0" w:noVBand="1"/>
      </w:tblPr>
      <w:tblGrid>
        <w:gridCol w:w="1662"/>
        <w:gridCol w:w="2841"/>
        <w:gridCol w:w="1417"/>
        <w:gridCol w:w="2971"/>
        <w:gridCol w:w="1423"/>
      </w:tblGrid>
      <w:tr w:rsidR="009D6A69" w14:paraId="362DDABA" w14:textId="77777777" w:rsidTr="00CC75F6">
        <w:trPr>
          <w:trHeight w:val="194"/>
        </w:trPr>
        <w:tc>
          <w:tcPr>
            <w:tcW w:w="1662" w:type="dxa"/>
            <w:tcBorders>
              <w:top w:val="single" w:sz="4" w:space="0" w:color="000000"/>
              <w:left w:val="single" w:sz="4" w:space="0" w:color="000000"/>
              <w:bottom w:val="single" w:sz="4" w:space="0" w:color="auto"/>
              <w:right w:val="single" w:sz="4" w:space="0" w:color="000000"/>
            </w:tcBorders>
            <w:vAlign w:val="center"/>
          </w:tcPr>
          <w:p w14:paraId="6F25E683" w14:textId="77777777" w:rsidR="009D6A69" w:rsidRDefault="00693092">
            <w:pPr>
              <w:widowControl w:val="0"/>
              <w:ind w:firstLine="0"/>
              <w:rPr>
                <w:sz w:val="16"/>
                <w:szCs w:val="16"/>
              </w:rPr>
            </w:pPr>
            <w:proofErr w:type="gramStart"/>
            <w:r>
              <w:rPr>
                <w:sz w:val="16"/>
                <w:szCs w:val="16"/>
              </w:rPr>
              <w:t>( x</w:t>
            </w:r>
            <w:proofErr w:type="gramEnd"/>
            <w:r>
              <w:rPr>
                <w:sz w:val="16"/>
                <w:szCs w:val="16"/>
              </w:rPr>
              <w:t xml:space="preserve"> ) Não se aplica</w:t>
            </w:r>
          </w:p>
        </w:tc>
        <w:tc>
          <w:tcPr>
            <w:tcW w:w="2841" w:type="dxa"/>
            <w:tcBorders>
              <w:top w:val="single" w:sz="4" w:space="0" w:color="000000"/>
              <w:left w:val="single" w:sz="4" w:space="0" w:color="000000"/>
              <w:bottom w:val="single" w:sz="4" w:space="0" w:color="auto"/>
              <w:right w:val="single" w:sz="4" w:space="0" w:color="000000"/>
            </w:tcBorders>
            <w:vAlign w:val="center"/>
          </w:tcPr>
          <w:p w14:paraId="1C092E99"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Proc. Adm. de Pré-Qualificação:</w:t>
            </w:r>
          </w:p>
        </w:tc>
        <w:tc>
          <w:tcPr>
            <w:tcW w:w="1417" w:type="dxa"/>
            <w:tcBorders>
              <w:top w:val="single" w:sz="4" w:space="0" w:color="000000"/>
              <w:left w:val="single" w:sz="4" w:space="0" w:color="000000"/>
              <w:bottom w:val="single" w:sz="4" w:space="0" w:color="auto"/>
              <w:right w:val="single" w:sz="4" w:space="0" w:color="000000"/>
            </w:tcBorders>
            <w:vAlign w:val="center"/>
          </w:tcPr>
          <w:p w14:paraId="274D5290" w14:textId="77777777" w:rsidR="009D6A69" w:rsidRDefault="00693092">
            <w:pPr>
              <w:widowControl w:val="0"/>
              <w:ind w:firstLine="0"/>
              <w:rPr>
                <w:sz w:val="16"/>
                <w:szCs w:val="16"/>
              </w:rPr>
            </w:pPr>
            <w:r>
              <w:rPr>
                <w:sz w:val="16"/>
                <w:szCs w:val="16"/>
              </w:rPr>
              <w:t>XX.XXX/XXXX</w:t>
            </w:r>
          </w:p>
        </w:tc>
        <w:tc>
          <w:tcPr>
            <w:tcW w:w="2971" w:type="dxa"/>
            <w:tcBorders>
              <w:top w:val="single" w:sz="4" w:space="0" w:color="000000"/>
              <w:left w:val="single" w:sz="4" w:space="0" w:color="000000"/>
              <w:bottom w:val="single" w:sz="4" w:space="0" w:color="auto"/>
              <w:right w:val="single" w:sz="4" w:space="0" w:color="000000"/>
            </w:tcBorders>
            <w:vAlign w:val="center"/>
          </w:tcPr>
          <w:p w14:paraId="5C6533E1"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Proc. Adm. de Vedação de Marca: </w:t>
            </w:r>
          </w:p>
        </w:tc>
        <w:tc>
          <w:tcPr>
            <w:tcW w:w="1423" w:type="dxa"/>
            <w:tcBorders>
              <w:top w:val="single" w:sz="4" w:space="0" w:color="000000"/>
              <w:left w:val="single" w:sz="4" w:space="0" w:color="000000"/>
              <w:bottom w:val="single" w:sz="4" w:space="0" w:color="auto"/>
              <w:right w:val="single" w:sz="4" w:space="0" w:color="000000"/>
            </w:tcBorders>
            <w:vAlign w:val="center"/>
          </w:tcPr>
          <w:p w14:paraId="31842936" w14:textId="77777777" w:rsidR="009D6A69" w:rsidRDefault="00693092">
            <w:pPr>
              <w:widowControl w:val="0"/>
              <w:ind w:firstLine="0"/>
              <w:rPr>
                <w:sz w:val="16"/>
                <w:szCs w:val="16"/>
              </w:rPr>
            </w:pPr>
            <w:r>
              <w:rPr>
                <w:sz w:val="16"/>
                <w:szCs w:val="16"/>
              </w:rPr>
              <w:t>XX.XXX/XXXX</w:t>
            </w:r>
          </w:p>
        </w:tc>
      </w:tr>
      <w:tr w:rsidR="00CC75F6" w14:paraId="2F0AAF72" w14:textId="77777777" w:rsidTr="00CC75F6">
        <w:trPr>
          <w:trHeight w:val="171"/>
        </w:trPr>
        <w:tc>
          <w:tcPr>
            <w:tcW w:w="10314" w:type="dxa"/>
            <w:gridSpan w:val="5"/>
            <w:tcBorders>
              <w:top w:val="single" w:sz="4" w:space="0" w:color="auto"/>
              <w:left w:val="single" w:sz="4" w:space="0" w:color="auto"/>
              <w:bottom w:val="single" w:sz="4" w:space="0" w:color="auto"/>
              <w:right w:val="single" w:sz="4" w:space="0" w:color="auto"/>
            </w:tcBorders>
            <w:vAlign w:val="center"/>
          </w:tcPr>
          <w:p w14:paraId="0F1EE382" w14:textId="3C4C877D" w:rsidR="00CC75F6" w:rsidRDefault="00CC75F6">
            <w:pPr>
              <w:widowControl w:val="0"/>
              <w:ind w:firstLine="0"/>
              <w:jc w:val="left"/>
              <w:rPr>
                <w:sz w:val="16"/>
                <w:szCs w:val="16"/>
              </w:rPr>
            </w:pPr>
            <w:proofErr w:type="gramStart"/>
            <w:r>
              <w:rPr>
                <w:sz w:val="16"/>
                <w:szCs w:val="16"/>
              </w:rPr>
              <w:t>(  )</w:t>
            </w:r>
            <w:proofErr w:type="gramEnd"/>
            <w:r>
              <w:rPr>
                <w:sz w:val="16"/>
                <w:szCs w:val="16"/>
              </w:rPr>
              <w:t xml:space="preserve"> Sim (Justificar itens e escolhas das marcas abaixo):</w:t>
            </w:r>
          </w:p>
        </w:tc>
      </w:tr>
    </w:tbl>
    <w:p w14:paraId="42F3D27A" w14:textId="77777777" w:rsidR="009D6A69" w:rsidRDefault="00693092">
      <w:pPr>
        <w:pStyle w:val="Ttulo1"/>
      </w:pPr>
      <w:r>
        <w:t>Execução do Objeto</w:t>
      </w:r>
    </w:p>
    <w:tbl>
      <w:tblPr>
        <w:tblW w:w="10314" w:type="dxa"/>
        <w:tblLayout w:type="fixed"/>
        <w:tblLook w:val="04A0" w:firstRow="1" w:lastRow="0" w:firstColumn="1" w:lastColumn="0" w:noHBand="0" w:noVBand="1"/>
      </w:tblPr>
      <w:tblGrid>
        <w:gridCol w:w="2802"/>
        <w:gridCol w:w="3685"/>
        <w:gridCol w:w="3827"/>
      </w:tblGrid>
      <w:tr w:rsidR="009D6A69" w14:paraId="4AE8212D" w14:textId="77777777">
        <w:trPr>
          <w:trHeight w:val="194"/>
        </w:trPr>
        <w:tc>
          <w:tcPr>
            <w:tcW w:w="2802" w:type="dxa"/>
            <w:tcBorders>
              <w:top w:val="single" w:sz="4" w:space="0" w:color="000000"/>
              <w:left w:val="single" w:sz="4" w:space="0" w:color="000000"/>
              <w:bottom w:val="single" w:sz="4" w:space="0" w:color="000000"/>
              <w:right w:val="single" w:sz="4" w:space="0" w:color="000000"/>
            </w:tcBorders>
            <w:vAlign w:val="center"/>
          </w:tcPr>
          <w:p w14:paraId="1EDE609F" w14:textId="241BB96F" w:rsidR="009D6A69" w:rsidRDefault="00693092">
            <w:pPr>
              <w:widowControl w:val="0"/>
              <w:ind w:firstLine="0"/>
              <w:rPr>
                <w:sz w:val="16"/>
                <w:szCs w:val="16"/>
              </w:rPr>
            </w:pPr>
            <w:proofErr w:type="gramStart"/>
            <w:r>
              <w:rPr>
                <w:sz w:val="16"/>
                <w:szCs w:val="16"/>
              </w:rPr>
              <w:t xml:space="preserve">( </w:t>
            </w:r>
            <w:r w:rsidR="00CC75F6">
              <w:rPr>
                <w:sz w:val="16"/>
                <w:szCs w:val="16"/>
              </w:rPr>
              <w:t xml:space="preserve"> </w:t>
            </w:r>
            <w:r>
              <w:rPr>
                <w:sz w:val="16"/>
                <w:szCs w:val="16"/>
              </w:rPr>
              <w:t>)</w:t>
            </w:r>
            <w:proofErr w:type="gramEnd"/>
            <w:r>
              <w:rPr>
                <w:sz w:val="16"/>
                <w:szCs w:val="16"/>
              </w:rPr>
              <w:t xml:space="preserve"> Não se aplica</w:t>
            </w:r>
          </w:p>
        </w:tc>
        <w:tc>
          <w:tcPr>
            <w:tcW w:w="3685" w:type="dxa"/>
            <w:tcBorders>
              <w:top w:val="single" w:sz="4" w:space="0" w:color="000000"/>
              <w:left w:val="single" w:sz="4" w:space="0" w:color="000000"/>
              <w:bottom w:val="single" w:sz="4" w:space="0" w:color="000000"/>
              <w:right w:val="single" w:sz="4" w:space="0" w:color="000000"/>
            </w:tcBorders>
            <w:vAlign w:val="center"/>
          </w:tcPr>
          <w:p w14:paraId="542D867B"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Bem de pronta-entrega</w:t>
            </w:r>
          </w:p>
        </w:tc>
        <w:tc>
          <w:tcPr>
            <w:tcW w:w="3827" w:type="dxa"/>
            <w:tcBorders>
              <w:top w:val="single" w:sz="4" w:space="0" w:color="000000"/>
              <w:left w:val="single" w:sz="4" w:space="0" w:color="000000"/>
              <w:bottom w:val="single" w:sz="4" w:space="0" w:color="000000"/>
              <w:right w:val="single" w:sz="4" w:space="0" w:color="000000"/>
            </w:tcBorders>
            <w:vAlign w:val="center"/>
          </w:tcPr>
          <w:p w14:paraId="718D0AE7"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Fornecimento e prestação de serviço associado </w:t>
            </w:r>
          </w:p>
        </w:tc>
      </w:tr>
      <w:tr w:rsidR="009D6A69" w14:paraId="0A3A4E05" w14:textId="77777777">
        <w:trPr>
          <w:trHeight w:val="194"/>
        </w:trPr>
        <w:tc>
          <w:tcPr>
            <w:tcW w:w="2802" w:type="dxa"/>
            <w:tcBorders>
              <w:top w:val="single" w:sz="4" w:space="0" w:color="000000"/>
              <w:left w:val="single" w:sz="4" w:space="0" w:color="000000"/>
              <w:bottom w:val="single" w:sz="4" w:space="0" w:color="000000"/>
              <w:right w:val="single" w:sz="4" w:space="0" w:color="000000"/>
            </w:tcBorders>
            <w:vAlign w:val="center"/>
          </w:tcPr>
          <w:p w14:paraId="464D8C7F"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Contratação por tarefa</w:t>
            </w:r>
          </w:p>
        </w:tc>
        <w:tc>
          <w:tcPr>
            <w:tcW w:w="3685" w:type="dxa"/>
            <w:tcBorders>
              <w:top w:val="single" w:sz="4" w:space="0" w:color="000000"/>
              <w:left w:val="single" w:sz="4" w:space="0" w:color="000000"/>
              <w:bottom w:val="single" w:sz="4" w:space="0" w:color="000000"/>
              <w:right w:val="single" w:sz="4" w:space="0" w:color="000000"/>
            </w:tcBorders>
            <w:vAlign w:val="center"/>
          </w:tcPr>
          <w:p w14:paraId="2813B31D"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Contratação integrada</w:t>
            </w:r>
          </w:p>
        </w:tc>
        <w:tc>
          <w:tcPr>
            <w:tcW w:w="3827" w:type="dxa"/>
            <w:tcBorders>
              <w:top w:val="single" w:sz="4" w:space="0" w:color="000000"/>
              <w:left w:val="single" w:sz="4" w:space="0" w:color="000000"/>
              <w:bottom w:val="single" w:sz="4" w:space="0" w:color="000000"/>
              <w:right w:val="single" w:sz="4" w:space="0" w:color="000000"/>
            </w:tcBorders>
            <w:vAlign w:val="center"/>
          </w:tcPr>
          <w:p w14:paraId="16CB243F"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Contratação </w:t>
            </w:r>
            <w:proofErr w:type="spellStart"/>
            <w:r>
              <w:rPr>
                <w:sz w:val="16"/>
                <w:szCs w:val="16"/>
              </w:rPr>
              <w:t>semi-integrada</w:t>
            </w:r>
            <w:proofErr w:type="spellEnd"/>
          </w:p>
        </w:tc>
      </w:tr>
      <w:tr w:rsidR="009D6A69" w14:paraId="54429F01" w14:textId="77777777" w:rsidTr="00CC75F6">
        <w:trPr>
          <w:trHeight w:val="194"/>
        </w:trPr>
        <w:tc>
          <w:tcPr>
            <w:tcW w:w="2802" w:type="dxa"/>
            <w:tcBorders>
              <w:top w:val="single" w:sz="4" w:space="0" w:color="000000"/>
              <w:left w:val="single" w:sz="4" w:space="0" w:color="000000"/>
              <w:bottom w:val="single" w:sz="4" w:space="0" w:color="auto"/>
              <w:right w:val="single" w:sz="4" w:space="0" w:color="000000"/>
            </w:tcBorders>
            <w:vAlign w:val="center"/>
          </w:tcPr>
          <w:p w14:paraId="79CFD414"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Empreitada por preço unitário</w:t>
            </w:r>
          </w:p>
        </w:tc>
        <w:tc>
          <w:tcPr>
            <w:tcW w:w="3685" w:type="dxa"/>
            <w:tcBorders>
              <w:top w:val="single" w:sz="4" w:space="0" w:color="000000"/>
              <w:left w:val="single" w:sz="4" w:space="0" w:color="000000"/>
              <w:bottom w:val="single" w:sz="4" w:space="0" w:color="auto"/>
              <w:right w:val="single" w:sz="4" w:space="0" w:color="000000"/>
            </w:tcBorders>
            <w:vAlign w:val="center"/>
          </w:tcPr>
          <w:p w14:paraId="3508014C"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Empreitada por preço global</w:t>
            </w:r>
          </w:p>
        </w:tc>
        <w:tc>
          <w:tcPr>
            <w:tcW w:w="3827" w:type="dxa"/>
            <w:tcBorders>
              <w:top w:val="single" w:sz="4" w:space="0" w:color="000000"/>
              <w:left w:val="single" w:sz="4" w:space="0" w:color="000000"/>
              <w:bottom w:val="single" w:sz="4" w:space="0" w:color="auto"/>
              <w:right w:val="single" w:sz="4" w:space="0" w:color="000000"/>
            </w:tcBorders>
            <w:vAlign w:val="center"/>
          </w:tcPr>
          <w:p w14:paraId="0F26882B"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Empreitada integral</w:t>
            </w:r>
          </w:p>
        </w:tc>
      </w:tr>
      <w:tr w:rsidR="00CC75F6" w14:paraId="058F658E" w14:textId="77777777" w:rsidTr="00CC75F6">
        <w:trPr>
          <w:trHeight w:val="149"/>
        </w:trPr>
        <w:tc>
          <w:tcPr>
            <w:tcW w:w="10314" w:type="dxa"/>
            <w:gridSpan w:val="3"/>
            <w:tcBorders>
              <w:top w:val="single" w:sz="4" w:space="0" w:color="auto"/>
              <w:left w:val="single" w:sz="4" w:space="0" w:color="auto"/>
              <w:bottom w:val="single" w:sz="4" w:space="0" w:color="auto"/>
              <w:right w:val="single" w:sz="4" w:space="0" w:color="auto"/>
            </w:tcBorders>
            <w:vAlign w:val="center"/>
          </w:tcPr>
          <w:p w14:paraId="56A4A65F" w14:textId="4076EB43" w:rsidR="00CC75F6" w:rsidRDefault="00CC75F6" w:rsidP="00CC75F6">
            <w:pPr>
              <w:widowControl w:val="0"/>
              <w:ind w:firstLine="0"/>
              <w:jc w:val="left"/>
              <w:rPr>
                <w:sz w:val="16"/>
                <w:szCs w:val="16"/>
              </w:rPr>
            </w:pPr>
            <w:r>
              <w:rPr>
                <w:sz w:val="16"/>
                <w:szCs w:val="16"/>
              </w:rPr>
              <w:t xml:space="preserve">(x) Outro (Especificar abaixo): Prestação de serviços. </w:t>
            </w:r>
          </w:p>
        </w:tc>
      </w:tr>
    </w:tbl>
    <w:p w14:paraId="1B53849B" w14:textId="77777777" w:rsidR="009D6A69" w:rsidRDefault="00693092">
      <w:pPr>
        <w:pStyle w:val="Ttulo1"/>
      </w:pPr>
      <w:r>
        <w:t>Gestão e Fiscalização do Contrato</w:t>
      </w:r>
    </w:p>
    <w:tbl>
      <w:tblPr>
        <w:tblW w:w="10314" w:type="dxa"/>
        <w:tblLayout w:type="fixed"/>
        <w:tblLook w:val="04A0" w:firstRow="1" w:lastRow="0" w:firstColumn="1" w:lastColumn="0" w:noHBand="0" w:noVBand="1"/>
      </w:tblPr>
      <w:tblGrid>
        <w:gridCol w:w="4503"/>
        <w:gridCol w:w="5811"/>
      </w:tblGrid>
      <w:tr w:rsidR="009D6A69" w14:paraId="446AF7A8" w14:textId="77777777">
        <w:trPr>
          <w:trHeight w:val="194"/>
        </w:trPr>
        <w:tc>
          <w:tcPr>
            <w:tcW w:w="4503" w:type="dxa"/>
            <w:tcBorders>
              <w:top w:val="single" w:sz="4" w:space="0" w:color="000000"/>
              <w:left w:val="single" w:sz="4" w:space="0" w:color="000000"/>
              <w:bottom w:val="single" w:sz="4" w:space="0" w:color="000000"/>
              <w:right w:val="single" w:sz="4" w:space="0" w:color="000000"/>
            </w:tcBorders>
            <w:vAlign w:val="center"/>
          </w:tcPr>
          <w:p w14:paraId="6E12E813"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Não se aplica.</w:t>
            </w:r>
          </w:p>
        </w:tc>
        <w:tc>
          <w:tcPr>
            <w:tcW w:w="5810" w:type="dxa"/>
            <w:tcBorders>
              <w:top w:val="single" w:sz="4" w:space="0" w:color="000000"/>
              <w:left w:val="single" w:sz="4" w:space="0" w:color="000000"/>
              <w:bottom w:val="single" w:sz="4" w:space="0" w:color="000000"/>
              <w:right w:val="single" w:sz="4" w:space="0" w:color="000000"/>
            </w:tcBorders>
            <w:vAlign w:val="center"/>
          </w:tcPr>
          <w:p w14:paraId="665E22D3" w14:textId="77777777" w:rsidR="009D6A69" w:rsidRDefault="00693092">
            <w:pPr>
              <w:widowControl w:val="0"/>
              <w:ind w:firstLine="0"/>
              <w:rPr>
                <w:sz w:val="16"/>
                <w:szCs w:val="16"/>
              </w:rPr>
            </w:pPr>
            <w:proofErr w:type="gramStart"/>
            <w:r>
              <w:rPr>
                <w:sz w:val="16"/>
                <w:szCs w:val="16"/>
              </w:rPr>
              <w:t>( x</w:t>
            </w:r>
            <w:proofErr w:type="gramEnd"/>
            <w:r>
              <w:rPr>
                <w:sz w:val="16"/>
                <w:szCs w:val="16"/>
              </w:rPr>
              <w:t xml:space="preserve"> ) Cfe. descrito abaixo:</w:t>
            </w:r>
          </w:p>
        </w:tc>
      </w:tr>
      <w:tr w:rsidR="009D6A69" w14:paraId="49075DAD" w14:textId="77777777">
        <w:trPr>
          <w:trHeight w:val="775"/>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158A0193" w14:textId="77777777" w:rsidR="009D6A69" w:rsidRDefault="00693092" w:rsidP="00CC75F6">
            <w:pPr>
              <w:widowControl w:val="0"/>
              <w:spacing w:after="0"/>
              <w:ind w:firstLine="0"/>
              <w:jc w:val="left"/>
              <w:rPr>
                <w:sz w:val="16"/>
                <w:szCs w:val="16"/>
              </w:rPr>
            </w:pPr>
            <w:r>
              <w:rPr>
                <w:sz w:val="16"/>
                <w:szCs w:val="16"/>
              </w:rPr>
              <w:t>a) O Município exercerá ampla e irrestrita fiscalização na execução objeto contratado, a qualquer hora, por meio do(s) gestor(es) e/ou fiscal(</w:t>
            </w:r>
            <w:proofErr w:type="spellStart"/>
            <w:r>
              <w:rPr>
                <w:sz w:val="16"/>
                <w:szCs w:val="16"/>
              </w:rPr>
              <w:t>is</w:t>
            </w:r>
            <w:proofErr w:type="spellEnd"/>
            <w:r>
              <w:rPr>
                <w:sz w:val="16"/>
                <w:szCs w:val="16"/>
              </w:rPr>
              <w:t>) indicados.</w:t>
            </w:r>
          </w:p>
          <w:p w14:paraId="6A6B2CA2" w14:textId="77777777" w:rsidR="009D6A69" w:rsidRDefault="00693092" w:rsidP="00CC75F6">
            <w:pPr>
              <w:widowControl w:val="0"/>
              <w:spacing w:after="0"/>
              <w:ind w:firstLine="0"/>
              <w:rPr>
                <w:sz w:val="16"/>
                <w:szCs w:val="16"/>
              </w:rPr>
            </w:pPr>
            <w:r>
              <w:rPr>
                <w:sz w:val="16"/>
                <w:szCs w:val="16"/>
              </w:rPr>
              <w:t xml:space="preserve">b) Todas as comunicações realizadas entre os gestores e/ou fiscais de contrato(s) e o(s) preposto(s) da(s) empresa(s) contratada(s) e/ou detentor da proposta mais vantajosa em ata de registro de preços serão consideradas como regularmente feitas se enviadas por e-mail (preferencialmente), disponibilizada por meio de aplicativos de mensagem eletrônica (Whatsapp®, </w:t>
            </w:r>
            <w:proofErr w:type="spellStart"/>
            <w:r>
              <w:rPr>
                <w:sz w:val="16"/>
                <w:szCs w:val="16"/>
              </w:rPr>
              <w:t>Telegram</w:t>
            </w:r>
            <w:proofErr w:type="spellEnd"/>
            <w:r>
              <w:rPr>
                <w:sz w:val="16"/>
                <w:szCs w:val="16"/>
              </w:rPr>
              <w:t xml:space="preserve">®, </w:t>
            </w:r>
            <w:proofErr w:type="spellStart"/>
            <w:r>
              <w:rPr>
                <w:sz w:val="16"/>
                <w:szCs w:val="16"/>
              </w:rPr>
              <w:t>Signal</w:t>
            </w:r>
            <w:proofErr w:type="spellEnd"/>
            <w:r>
              <w:rPr>
                <w:sz w:val="16"/>
                <w:szCs w:val="16"/>
              </w:rPr>
              <w:t>®, entre outros), entregues pessoalmente, ou ainda, mediante correspondência registrada.</w:t>
            </w:r>
          </w:p>
          <w:p w14:paraId="2C9C2097" w14:textId="77777777" w:rsidR="009D6A69" w:rsidRDefault="00693092" w:rsidP="00CC75F6">
            <w:pPr>
              <w:widowControl w:val="0"/>
              <w:spacing w:after="0"/>
              <w:ind w:firstLine="0"/>
              <w:rPr>
                <w:sz w:val="16"/>
                <w:szCs w:val="16"/>
              </w:rPr>
            </w:pPr>
            <w:r>
              <w:rPr>
                <w:sz w:val="16"/>
                <w:szCs w:val="16"/>
              </w:rPr>
              <w:t>c) A fiscalização anotará em registro próprio, todas as ocorrências relacionadas com a execução do contrato, determinando o que for necessário à regularização dos descumprimentos observados.</w:t>
            </w:r>
          </w:p>
          <w:p w14:paraId="60F24329" w14:textId="2E1ECF71" w:rsidR="009D6A69" w:rsidRPr="00CC75F6" w:rsidRDefault="00693092" w:rsidP="00CC75F6">
            <w:pPr>
              <w:widowControl w:val="0"/>
              <w:spacing w:after="0"/>
              <w:ind w:firstLine="0"/>
            </w:pPr>
            <w:r>
              <w:rPr>
                <w:sz w:val="16"/>
                <w:szCs w:val="16"/>
              </w:rPr>
              <w:t>d)</w:t>
            </w:r>
            <w:r>
              <w:t xml:space="preserve"> </w:t>
            </w:r>
            <w:r>
              <w:rPr>
                <w:sz w:val="16"/>
                <w:szCs w:val="16"/>
              </w:rPr>
              <w:t>A fiscalização exercida não exclui nem reduz a responsabilidade da(s) empresa(s) contratada(s) e/ou detentor da proposta mais vantajosa em ata de registro de preços, inclusive perante terceiros, por quaisquer irregularidades verificadas durante a execução deste contrato.</w:t>
            </w:r>
          </w:p>
        </w:tc>
      </w:tr>
      <w:tr w:rsidR="009D6A69" w14:paraId="55D9FDC4" w14:textId="77777777" w:rsidTr="00CC75F6">
        <w:trPr>
          <w:trHeight w:val="560"/>
        </w:trPr>
        <w:tc>
          <w:tcPr>
            <w:tcW w:w="10313" w:type="dxa"/>
            <w:gridSpan w:val="2"/>
            <w:tcBorders>
              <w:top w:val="single" w:sz="4" w:space="0" w:color="000000"/>
              <w:left w:val="single" w:sz="4" w:space="0" w:color="000000"/>
              <w:bottom w:val="single" w:sz="4" w:space="0" w:color="000000"/>
              <w:right w:val="single" w:sz="4" w:space="0" w:color="000000"/>
            </w:tcBorders>
            <w:vAlign w:val="center"/>
          </w:tcPr>
          <w:p w14:paraId="634E81E4" w14:textId="45BA16C0" w:rsidR="009D6A69" w:rsidRDefault="00693092" w:rsidP="00CC75F6">
            <w:pPr>
              <w:widowControl w:val="0"/>
              <w:spacing w:after="0"/>
              <w:ind w:firstLine="0"/>
              <w:jc w:val="left"/>
              <w:rPr>
                <w:sz w:val="16"/>
                <w:szCs w:val="16"/>
              </w:rPr>
            </w:pPr>
            <w:r>
              <w:rPr>
                <w:b/>
                <w:bCs/>
                <w:sz w:val="16"/>
                <w:szCs w:val="16"/>
                <w:u w:val="single"/>
              </w:rPr>
              <w:t>Obs.:</w:t>
            </w:r>
            <w:r w:rsidR="00CC75F6">
              <w:rPr>
                <w:b/>
                <w:bCs/>
                <w:sz w:val="16"/>
                <w:szCs w:val="16"/>
                <w:u w:val="single"/>
              </w:rPr>
              <w:t xml:space="preserve"> </w:t>
            </w:r>
            <w:r>
              <w:rPr>
                <w:sz w:val="16"/>
                <w:szCs w:val="16"/>
              </w:rPr>
              <w:t>As definições quanto as atividades de gestão e fiscalização de contrato, bem como de fiscalização técnica, fiscalização administrativa e fiscalização setorial estão previstas nos incisos V à IX do art. 2º do Decreto Municipal 2.130/23. Já as atribuições de gestor(es) e/ou fiscal(</w:t>
            </w:r>
            <w:proofErr w:type="spellStart"/>
            <w:r>
              <w:rPr>
                <w:sz w:val="16"/>
                <w:szCs w:val="16"/>
              </w:rPr>
              <w:t>is</w:t>
            </w:r>
            <w:proofErr w:type="spellEnd"/>
            <w:r>
              <w:rPr>
                <w:sz w:val="16"/>
                <w:szCs w:val="16"/>
              </w:rPr>
              <w:t xml:space="preserve">) de contrato(s) estão dispostas nos </w:t>
            </w:r>
            <w:proofErr w:type="spellStart"/>
            <w:r>
              <w:rPr>
                <w:sz w:val="16"/>
                <w:szCs w:val="16"/>
              </w:rPr>
              <w:t>arts</w:t>
            </w:r>
            <w:proofErr w:type="spellEnd"/>
            <w:r>
              <w:rPr>
                <w:sz w:val="16"/>
                <w:szCs w:val="16"/>
              </w:rPr>
              <w:t xml:space="preserve">. 20 </w:t>
            </w:r>
            <w:proofErr w:type="gramStart"/>
            <w:r>
              <w:rPr>
                <w:sz w:val="16"/>
                <w:szCs w:val="16"/>
              </w:rPr>
              <w:t>à</w:t>
            </w:r>
            <w:proofErr w:type="gramEnd"/>
            <w:r>
              <w:rPr>
                <w:sz w:val="16"/>
                <w:szCs w:val="16"/>
              </w:rPr>
              <w:t xml:space="preserve"> 26 do Decreto Municipal 2.130/23.</w:t>
            </w:r>
          </w:p>
        </w:tc>
      </w:tr>
    </w:tbl>
    <w:p w14:paraId="26E91E4C" w14:textId="77777777" w:rsidR="009D6A69" w:rsidRDefault="009D6A69"/>
    <w:tbl>
      <w:tblPr>
        <w:tblW w:w="10314" w:type="dxa"/>
        <w:tblLayout w:type="fixed"/>
        <w:tblLook w:val="04A0" w:firstRow="1" w:lastRow="0" w:firstColumn="1" w:lastColumn="0" w:noHBand="0" w:noVBand="1"/>
      </w:tblPr>
      <w:tblGrid>
        <w:gridCol w:w="10314"/>
      </w:tblGrid>
      <w:tr w:rsidR="009D6A69" w14:paraId="1476B7FB"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583C1822" w14:textId="77777777" w:rsidR="009D6A69" w:rsidRDefault="00693092">
            <w:pPr>
              <w:widowControl w:val="0"/>
              <w:ind w:firstLine="0"/>
              <w:jc w:val="center"/>
              <w:rPr>
                <w:b/>
                <w:bCs/>
                <w:szCs w:val="18"/>
              </w:rPr>
            </w:pPr>
            <w:r>
              <w:rPr>
                <w:b/>
                <w:bCs/>
                <w:szCs w:val="18"/>
              </w:rPr>
              <w:t xml:space="preserve">Designação do(s) Gestor(es) </w:t>
            </w:r>
            <w:proofErr w:type="gramStart"/>
            <w:r>
              <w:rPr>
                <w:b/>
                <w:bCs/>
                <w:szCs w:val="18"/>
              </w:rPr>
              <w:t>e/ou Fiscal</w:t>
            </w:r>
            <w:proofErr w:type="gramEnd"/>
            <w:r>
              <w:rPr>
                <w:b/>
                <w:bCs/>
                <w:szCs w:val="18"/>
              </w:rPr>
              <w:t>(</w:t>
            </w:r>
            <w:proofErr w:type="spellStart"/>
            <w:r>
              <w:rPr>
                <w:b/>
                <w:bCs/>
                <w:szCs w:val="18"/>
              </w:rPr>
              <w:t>is</w:t>
            </w:r>
            <w:proofErr w:type="spellEnd"/>
            <w:r>
              <w:rPr>
                <w:b/>
                <w:bCs/>
                <w:szCs w:val="18"/>
              </w:rPr>
              <w:t>) de Contrato(s)</w:t>
            </w:r>
          </w:p>
        </w:tc>
      </w:tr>
      <w:tr w:rsidR="009D6A69" w14:paraId="34D1763B" w14:textId="77777777">
        <w:tc>
          <w:tcPr>
            <w:tcW w:w="10314" w:type="dxa"/>
            <w:tcBorders>
              <w:top w:val="single" w:sz="4" w:space="0" w:color="000000"/>
              <w:left w:val="single" w:sz="4" w:space="0" w:color="000000"/>
              <w:bottom w:val="single" w:sz="4" w:space="0" w:color="000000"/>
              <w:right w:val="single" w:sz="4" w:space="0" w:color="000000"/>
            </w:tcBorders>
            <w:vAlign w:val="center"/>
          </w:tcPr>
          <w:p w14:paraId="297CD3AE" w14:textId="77777777" w:rsidR="009D6A69" w:rsidRDefault="00693092">
            <w:pPr>
              <w:widowControl w:val="0"/>
              <w:ind w:firstLine="0"/>
              <w:jc w:val="left"/>
              <w:rPr>
                <w:sz w:val="16"/>
                <w:szCs w:val="16"/>
              </w:rPr>
            </w:pPr>
            <w:r>
              <w:rPr>
                <w:sz w:val="16"/>
                <w:szCs w:val="16"/>
              </w:rPr>
              <w:t>(</w:t>
            </w:r>
            <w:proofErr w:type="gramStart"/>
            <w:r>
              <w:rPr>
                <w:sz w:val="16"/>
                <w:szCs w:val="16"/>
              </w:rPr>
              <w:t>x )</w:t>
            </w:r>
            <w:proofErr w:type="gramEnd"/>
            <w:r>
              <w:rPr>
                <w:sz w:val="16"/>
                <w:szCs w:val="16"/>
              </w:rPr>
              <w:t xml:space="preserve"> Cfe. disponível no processo, visto que o(s) gestor(es) e/ou fiscais de contrato(s) estão identificados no termo de designação específico.  </w:t>
            </w:r>
          </w:p>
        </w:tc>
      </w:tr>
    </w:tbl>
    <w:p w14:paraId="62B17BDD" w14:textId="77777777" w:rsidR="009D6A69" w:rsidRDefault="00693092">
      <w:pPr>
        <w:pStyle w:val="Ttulo1"/>
      </w:pPr>
      <w:r>
        <w:t>Critérios de Medição e Pagamento</w:t>
      </w:r>
    </w:p>
    <w:tbl>
      <w:tblPr>
        <w:tblW w:w="10314" w:type="dxa"/>
        <w:tblLayout w:type="fixed"/>
        <w:tblLook w:val="04A0" w:firstRow="1" w:lastRow="0" w:firstColumn="1" w:lastColumn="0" w:noHBand="0" w:noVBand="1"/>
      </w:tblPr>
      <w:tblGrid>
        <w:gridCol w:w="10314"/>
      </w:tblGrid>
      <w:tr w:rsidR="009D6A69" w14:paraId="1C019728" w14:textId="77777777" w:rsidTr="003860DB">
        <w:trPr>
          <w:trHeight w:val="194"/>
        </w:trPr>
        <w:tc>
          <w:tcPr>
            <w:tcW w:w="10314" w:type="dxa"/>
            <w:tcBorders>
              <w:top w:val="single" w:sz="4" w:space="0" w:color="000000"/>
              <w:left w:val="single" w:sz="4" w:space="0" w:color="000000"/>
              <w:bottom w:val="single" w:sz="4" w:space="0" w:color="000000"/>
              <w:right w:val="single" w:sz="4" w:space="0" w:color="000000"/>
            </w:tcBorders>
            <w:vAlign w:val="center"/>
          </w:tcPr>
          <w:p w14:paraId="4DE9C399"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Não se aplica</w:t>
            </w:r>
          </w:p>
        </w:tc>
      </w:tr>
      <w:tr w:rsidR="009D6A69" w14:paraId="0AF58C48" w14:textId="77777777" w:rsidTr="003860DB">
        <w:trPr>
          <w:trHeight w:val="194"/>
        </w:trPr>
        <w:tc>
          <w:tcPr>
            <w:tcW w:w="10314" w:type="dxa"/>
            <w:tcBorders>
              <w:top w:val="single" w:sz="4" w:space="0" w:color="000000"/>
              <w:left w:val="single" w:sz="4" w:space="0" w:color="000000"/>
              <w:bottom w:val="single" w:sz="4" w:space="0" w:color="000000"/>
              <w:right w:val="single" w:sz="4" w:space="0" w:color="000000"/>
            </w:tcBorders>
            <w:vAlign w:val="center"/>
          </w:tcPr>
          <w:p w14:paraId="04109374" w14:textId="77777777" w:rsidR="009D6A69" w:rsidRDefault="00693092">
            <w:pPr>
              <w:widowControl w:val="0"/>
              <w:ind w:firstLine="0"/>
            </w:pPr>
            <w:proofErr w:type="gramStart"/>
            <w:r>
              <w:rPr>
                <w:sz w:val="16"/>
                <w:szCs w:val="16"/>
              </w:rPr>
              <w:t>( x</w:t>
            </w:r>
            <w:proofErr w:type="gramEnd"/>
            <w:r>
              <w:rPr>
                <w:sz w:val="16"/>
                <w:szCs w:val="16"/>
              </w:rPr>
              <w:t xml:space="preserve"> ) Em caso de </w:t>
            </w:r>
            <w:r>
              <w:rPr>
                <w:b/>
                <w:bCs/>
                <w:sz w:val="16"/>
                <w:szCs w:val="16"/>
              </w:rPr>
              <w:t>fornecimento de bens e/ou prestação de serviços</w:t>
            </w:r>
            <w:r>
              <w:rPr>
                <w:sz w:val="16"/>
                <w:szCs w:val="16"/>
              </w:rPr>
              <w:t>, atestado o recebimento provisório do objeto pelo(s) fiscal(</w:t>
            </w:r>
            <w:proofErr w:type="spellStart"/>
            <w:r>
              <w:rPr>
                <w:sz w:val="16"/>
                <w:szCs w:val="16"/>
              </w:rPr>
              <w:t>is</w:t>
            </w:r>
            <w:proofErr w:type="spellEnd"/>
            <w:r>
              <w:rPr>
                <w:sz w:val="16"/>
                <w:szCs w:val="16"/>
              </w:rPr>
              <w:t xml:space="preserve">), o pagamento se dará em até 10 dias úteis da entrega da nota fiscal e/ou de documentos complementares ao setor contábil </w:t>
            </w:r>
          </w:p>
        </w:tc>
      </w:tr>
      <w:tr w:rsidR="009D6A69" w14:paraId="44F27E14" w14:textId="77777777" w:rsidTr="003860DB">
        <w:trPr>
          <w:trHeight w:val="194"/>
        </w:trPr>
        <w:tc>
          <w:tcPr>
            <w:tcW w:w="10314" w:type="dxa"/>
            <w:tcBorders>
              <w:top w:val="single" w:sz="4" w:space="0" w:color="000000"/>
              <w:left w:val="single" w:sz="4" w:space="0" w:color="000000"/>
              <w:bottom w:val="single" w:sz="4" w:space="0" w:color="auto"/>
              <w:right w:val="single" w:sz="4" w:space="0" w:color="000000"/>
            </w:tcBorders>
            <w:vAlign w:val="center"/>
          </w:tcPr>
          <w:p w14:paraId="0913500B" w14:textId="77777777" w:rsidR="009D6A69" w:rsidRDefault="00693092">
            <w:pPr>
              <w:widowControl w:val="0"/>
              <w:ind w:firstLine="0"/>
            </w:pPr>
            <w:proofErr w:type="gramStart"/>
            <w:r>
              <w:rPr>
                <w:sz w:val="16"/>
                <w:szCs w:val="16"/>
              </w:rPr>
              <w:t>(  )</w:t>
            </w:r>
            <w:proofErr w:type="gramEnd"/>
            <w:r>
              <w:rPr>
                <w:sz w:val="16"/>
                <w:szCs w:val="16"/>
              </w:rPr>
              <w:t xml:space="preserve"> Em caso de </w:t>
            </w:r>
            <w:r>
              <w:rPr>
                <w:b/>
                <w:bCs/>
                <w:sz w:val="16"/>
                <w:szCs w:val="16"/>
              </w:rPr>
              <w:t>Obras e Serviços de Engenharia</w:t>
            </w:r>
            <w:r>
              <w:rPr>
                <w:sz w:val="16"/>
                <w:szCs w:val="16"/>
              </w:rPr>
              <w:t>, cfe. cronograma físico-financeiro disponível no processo</w:t>
            </w:r>
          </w:p>
        </w:tc>
      </w:tr>
      <w:tr w:rsidR="003860DB" w14:paraId="3704FABA" w14:textId="77777777" w:rsidTr="003860DB">
        <w:trPr>
          <w:trHeight w:val="70"/>
        </w:trPr>
        <w:tc>
          <w:tcPr>
            <w:tcW w:w="10314" w:type="dxa"/>
            <w:tcBorders>
              <w:top w:val="single" w:sz="4" w:space="0" w:color="auto"/>
              <w:left w:val="single" w:sz="4" w:space="0" w:color="auto"/>
              <w:bottom w:val="single" w:sz="4" w:space="0" w:color="auto"/>
              <w:right w:val="single" w:sz="4" w:space="0" w:color="auto"/>
            </w:tcBorders>
            <w:vAlign w:val="center"/>
          </w:tcPr>
          <w:p w14:paraId="73F271CF" w14:textId="0DE21355" w:rsidR="003860DB" w:rsidRDefault="003860DB">
            <w:pPr>
              <w:widowControl w:val="0"/>
              <w:ind w:firstLine="0"/>
              <w:jc w:val="left"/>
              <w:rPr>
                <w:sz w:val="16"/>
                <w:szCs w:val="16"/>
              </w:rPr>
            </w:pPr>
            <w:proofErr w:type="gramStart"/>
            <w:r>
              <w:rPr>
                <w:sz w:val="16"/>
                <w:szCs w:val="16"/>
              </w:rPr>
              <w:t>(  )</w:t>
            </w:r>
            <w:proofErr w:type="gramEnd"/>
            <w:r>
              <w:rPr>
                <w:sz w:val="16"/>
                <w:szCs w:val="16"/>
              </w:rPr>
              <w:t xml:space="preserve"> Outro (Especificar abaixo):</w:t>
            </w:r>
          </w:p>
        </w:tc>
      </w:tr>
    </w:tbl>
    <w:p w14:paraId="3A9F796E" w14:textId="77777777" w:rsidR="009D6A69" w:rsidRDefault="00693092">
      <w:pPr>
        <w:pStyle w:val="Ttulo1"/>
      </w:pPr>
      <w:r>
        <w:t>Forma e Critérios de Seleção do Fornecedor</w:t>
      </w:r>
    </w:p>
    <w:tbl>
      <w:tblPr>
        <w:tblW w:w="10314" w:type="dxa"/>
        <w:tblLayout w:type="fixed"/>
        <w:tblLook w:val="04A0" w:firstRow="1" w:lastRow="0" w:firstColumn="1" w:lastColumn="0" w:noHBand="0" w:noVBand="1"/>
      </w:tblPr>
      <w:tblGrid>
        <w:gridCol w:w="3227"/>
        <w:gridCol w:w="3685"/>
        <w:gridCol w:w="3402"/>
      </w:tblGrid>
      <w:tr w:rsidR="009D6A69" w14:paraId="57F9E34B" w14:textId="77777777">
        <w:trPr>
          <w:trHeight w:val="320"/>
        </w:trPr>
        <w:tc>
          <w:tcPr>
            <w:tcW w:w="10314" w:type="dxa"/>
            <w:gridSpan w:val="3"/>
            <w:tcBorders>
              <w:top w:val="single" w:sz="4" w:space="0" w:color="000000"/>
              <w:left w:val="single" w:sz="4" w:space="0" w:color="000000"/>
              <w:bottom w:val="single" w:sz="4" w:space="0" w:color="000000"/>
              <w:right w:val="single" w:sz="4" w:space="0" w:color="000000"/>
            </w:tcBorders>
            <w:vAlign w:val="center"/>
          </w:tcPr>
          <w:p w14:paraId="13023D64" w14:textId="77777777" w:rsidR="009D6A69" w:rsidRDefault="00693092" w:rsidP="003860DB">
            <w:pPr>
              <w:widowControl w:val="0"/>
              <w:ind w:firstLine="0"/>
              <w:rPr>
                <w:sz w:val="16"/>
                <w:szCs w:val="16"/>
              </w:rPr>
            </w:pPr>
            <w:r>
              <w:rPr>
                <w:sz w:val="16"/>
                <w:szCs w:val="16"/>
              </w:rPr>
              <w:t>Aquele que apresentar a proposta que atenda aos requisitos e informações constantes na fase preparatória e, desde que ao final, considerando o critério informado abaixo, seja considerada a proposta apta a gerar o resultado de contratação mais vantajoso para a Administração Pública.</w:t>
            </w:r>
          </w:p>
        </w:tc>
      </w:tr>
      <w:tr w:rsidR="009D6A69" w14:paraId="6A3EF889" w14:textId="77777777" w:rsidTr="003860DB">
        <w:trPr>
          <w:trHeight w:val="70"/>
        </w:trPr>
        <w:tc>
          <w:tcPr>
            <w:tcW w:w="3227" w:type="dxa"/>
            <w:tcBorders>
              <w:top w:val="single" w:sz="4" w:space="0" w:color="000000"/>
              <w:left w:val="single" w:sz="4" w:space="0" w:color="000000"/>
              <w:bottom w:val="single" w:sz="4" w:space="0" w:color="000000"/>
              <w:right w:val="single" w:sz="4" w:space="0" w:color="000000"/>
            </w:tcBorders>
            <w:vAlign w:val="center"/>
          </w:tcPr>
          <w:p w14:paraId="28919667" w14:textId="77777777" w:rsidR="009D6A69" w:rsidRDefault="00693092">
            <w:pPr>
              <w:widowControl w:val="0"/>
              <w:ind w:firstLine="0"/>
              <w:rPr>
                <w:sz w:val="16"/>
                <w:szCs w:val="16"/>
              </w:rPr>
            </w:pPr>
            <w:r>
              <w:rPr>
                <w:sz w:val="16"/>
                <w:szCs w:val="16"/>
              </w:rPr>
              <w:t>(</w:t>
            </w:r>
            <w:proofErr w:type="gramStart"/>
            <w:r>
              <w:rPr>
                <w:sz w:val="16"/>
                <w:szCs w:val="16"/>
              </w:rPr>
              <w:t>x )</w:t>
            </w:r>
            <w:proofErr w:type="gramEnd"/>
            <w:r>
              <w:rPr>
                <w:sz w:val="16"/>
                <w:szCs w:val="16"/>
              </w:rPr>
              <w:t xml:space="preserve"> Menor preço</w:t>
            </w:r>
          </w:p>
        </w:tc>
        <w:tc>
          <w:tcPr>
            <w:tcW w:w="3685" w:type="dxa"/>
            <w:tcBorders>
              <w:top w:val="single" w:sz="4" w:space="0" w:color="000000"/>
              <w:left w:val="single" w:sz="4" w:space="0" w:color="000000"/>
              <w:bottom w:val="single" w:sz="4" w:space="0" w:color="000000"/>
              <w:right w:val="single" w:sz="4" w:space="0" w:color="000000"/>
            </w:tcBorders>
            <w:vAlign w:val="center"/>
          </w:tcPr>
          <w:p w14:paraId="7443C54E"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Maior desconto</w:t>
            </w:r>
          </w:p>
        </w:tc>
        <w:tc>
          <w:tcPr>
            <w:tcW w:w="3402" w:type="dxa"/>
            <w:tcBorders>
              <w:top w:val="single" w:sz="4" w:space="0" w:color="000000"/>
              <w:left w:val="single" w:sz="4" w:space="0" w:color="000000"/>
              <w:bottom w:val="single" w:sz="4" w:space="0" w:color="000000"/>
              <w:right w:val="single" w:sz="4" w:space="0" w:color="000000"/>
            </w:tcBorders>
            <w:vAlign w:val="center"/>
          </w:tcPr>
          <w:p w14:paraId="66F54402"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Técnica e Preço</w:t>
            </w:r>
          </w:p>
        </w:tc>
      </w:tr>
      <w:tr w:rsidR="009D6A69" w14:paraId="358599AD" w14:textId="77777777" w:rsidTr="003860DB">
        <w:trPr>
          <w:trHeight w:val="70"/>
        </w:trPr>
        <w:tc>
          <w:tcPr>
            <w:tcW w:w="3227" w:type="dxa"/>
            <w:tcBorders>
              <w:top w:val="single" w:sz="4" w:space="0" w:color="000000"/>
              <w:left w:val="single" w:sz="4" w:space="0" w:color="000000"/>
              <w:bottom w:val="single" w:sz="4" w:space="0" w:color="000000"/>
              <w:right w:val="single" w:sz="4" w:space="0" w:color="000000"/>
            </w:tcBorders>
            <w:vAlign w:val="center"/>
          </w:tcPr>
          <w:p w14:paraId="0CD18A9F"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Melhor Técnica</w:t>
            </w:r>
          </w:p>
        </w:tc>
        <w:tc>
          <w:tcPr>
            <w:tcW w:w="3685" w:type="dxa"/>
            <w:tcBorders>
              <w:top w:val="single" w:sz="4" w:space="0" w:color="000000"/>
              <w:left w:val="single" w:sz="4" w:space="0" w:color="000000"/>
              <w:bottom w:val="single" w:sz="4" w:space="0" w:color="000000"/>
              <w:right w:val="single" w:sz="4" w:space="0" w:color="000000"/>
            </w:tcBorders>
            <w:vAlign w:val="center"/>
          </w:tcPr>
          <w:p w14:paraId="5DBFA9FC"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Melhor Conteúdo Artístico</w:t>
            </w:r>
          </w:p>
        </w:tc>
        <w:tc>
          <w:tcPr>
            <w:tcW w:w="3402" w:type="dxa"/>
            <w:tcBorders>
              <w:top w:val="single" w:sz="4" w:space="0" w:color="000000"/>
              <w:left w:val="single" w:sz="4" w:space="0" w:color="000000"/>
              <w:bottom w:val="single" w:sz="4" w:space="0" w:color="000000"/>
              <w:right w:val="single" w:sz="4" w:space="0" w:color="000000"/>
            </w:tcBorders>
            <w:vAlign w:val="center"/>
          </w:tcPr>
          <w:p w14:paraId="1CE9198B"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Maior Retorno Econômico</w:t>
            </w:r>
          </w:p>
        </w:tc>
      </w:tr>
    </w:tbl>
    <w:p w14:paraId="616553D1" w14:textId="77777777" w:rsidR="009D6A69" w:rsidRDefault="009D6A69"/>
    <w:tbl>
      <w:tblPr>
        <w:tblW w:w="10314" w:type="dxa"/>
        <w:tblLayout w:type="fixed"/>
        <w:tblLook w:val="04A0" w:firstRow="1" w:lastRow="0" w:firstColumn="1" w:lastColumn="0" w:noHBand="0" w:noVBand="1"/>
      </w:tblPr>
      <w:tblGrid>
        <w:gridCol w:w="2802"/>
        <w:gridCol w:w="6805"/>
        <w:gridCol w:w="707"/>
      </w:tblGrid>
      <w:tr w:rsidR="009D6A69" w14:paraId="40890B8B" w14:textId="77777777">
        <w:trPr>
          <w:trHeight w:val="390"/>
        </w:trPr>
        <w:tc>
          <w:tcPr>
            <w:tcW w:w="10313" w:type="dxa"/>
            <w:gridSpan w:val="3"/>
            <w:tcBorders>
              <w:top w:val="single" w:sz="4" w:space="0" w:color="000000"/>
              <w:left w:val="single" w:sz="4" w:space="0" w:color="000000"/>
              <w:bottom w:val="single" w:sz="4" w:space="0" w:color="000000"/>
              <w:right w:val="single" w:sz="4" w:space="0" w:color="000000"/>
            </w:tcBorders>
            <w:vAlign w:val="center"/>
          </w:tcPr>
          <w:p w14:paraId="074D6E31" w14:textId="77777777" w:rsidR="009D6A69" w:rsidRDefault="00693092">
            <w:pPr>
              <w:widowControl w:val="0"/>
              <w:ind w:firstLine="0"/>
              <w:jc w:val="center"/>
              <w:rPr>
                <w:b/>
                <w:bCs/>
                <w:szCs w:val="18"/>
              </w:rPr>
            </w:pPr>
            <w:r>
              <w:rPr>
                <w:b/>
                <w:bCs/>
                <w:szCs w:val="18"/>
              </w:rPr>
              <w:t>Exigência(s) de Qualificação(ões) Técnica(s) do(s) Fornecedor(es) e/ou Objeto(s)</w:t>
            </w:r>
          </w:p>
        </w:tc>
      </w:tr>
      <w:tr w:rsidR="009D6A69" w14:paraId="4735A5C4" w14:textId="77777777">
        <w:trPr>
          <w:trHeight w:val="252"/>
        </w:trPr>
        <w:tc>
          <w:tcPr>
            <w:tcW w:w="2802" w:type="dxa"/>
            <w:tcBorders>
              <w:top w:val="single" w:sz="4" w:space="0" w:color="000000"/>
              <w:left w:val="single" w:sz="4" w:space="0" w:color="000000"/>
              <w:bottom w:val="single" w:sz="4" w:space="0" w:color="000000"/>
              <w:right w:val="single" w:sz="4" w:space="0" w:color="000000"/>
            </w:tcBorders>
            <w:vAlign w:val="center"/>
          </w:tcPr>
          <w:p w14:paraId="648CA0BF" w14:textId="77777777" w:rsidR="009D6A69" w:rsidRDefault="00693092">
            <w:pPr>
              <w:widowControl w:val="0"/>
              <w:ind w:firstLine="0"/>
            </w:pPr>
            <w:proofErr w:type="gramStart"/>
            <w:r>
              <w:rPr>
                <w:sz w:val="16"/>
                <w:szCs w:val="16"/>
              </w:rPr>
              <w:t>(  )</w:t>
            </w:r>
            <w:proofErr w:type="gramEnd"/>
            <w:r>
              <w:rPr>
                <w:sz w:val="16"/>
                <w:szCs w:val="16"/>
              </w:rPr>
              <w:t xml:space="preserve"> Não se aplica</w:t>
            </w:r>
          </w:p>
        </w:tc>
        <w:tc>
          <w:tcPr>
            <w:tcW w:w="7511" w:type="dxa"/>
            <w:gridSpan w:val="2"/>
            <w:tcBorders>
              <w:top w:val="single" w:sz="4" w:space="0" w:color="000000"/>
              <w:left w:val="single" w:sz="4" w:space="0" w:color="000000"/>
              <w:bottom w:val="single" w:sz="4" w:space="0" w:color="000000"/>
              <w:right w:val="single" w:sz="4" w:space="0" w:color="000000"/>
            </w:tcBorders>
            <w:vAlign w:val="center"/>
          </w:tcPr>
          <w:p w14:paraId="01FFA3A5" w14:textId="77777777" w:rsidR="009D6A69" w:rsidRDefault="00693092">
            <w:pPr>
              <w:widowControl w:val="0"/>
              <w:ind w:firstLine="0"/>
            </w:pPr>
            <w:proofErr w:type="gramStart"/>
            <w:r>
              <w:rPr>
                <w:sz w:val="16"/>
                <w:szCs w:val="16"/>
              </w:rPr>
              <w:t>( x</w:t>
            </w:r>
            <w:proofErr w:type="gramEnd"/>
            <w:r>
              <w:rPr>
                <w:sz w:val="16"/>
                <w:szCs w:val="16"/>
              </w:rPr>
              <w:t xml:space="preserve"> ) Sim, cfe. detalhado abaixo</w:t>
            </w:r>
          </w:p>
        </w:tc>
      </w:tr>
      <w:tr w:rsidR="009D6A69" w14:paraId="69AE25C9" w14:textId="77777777">
        <w:trPr>
          <w:trHeight w:val="137"/>
        </w:trPr>
        <w:tc>
          <w:tcPr>
            <w:tcW w:w="9606" w:type="dxa"/>
            <w:gridSpan w:val="2"/>
            <w:tcBorders>
              <w:top w:val="single" w:sz="4" w:space="0" w:color="000000"/>
              <w:left w:val="single" w:sz="4" w:space="0" w:color="000000"/>
            </w:tcBorders>
            <w:vAlign w:val="center"/>
          </w:tcPr>
          <w:p w14:paraId="70252C37" w14:textId="77777777" w:rsidR="009D6A69" w:rsidRDefault="00693092">
            <w:pPr>
              <w:widowControl w:val="0"/>
              <w:ind w:firstLine="0"/>
              <w:jc w:val="left"/>
            </w:pPr>
            <w:r>
              <w:rPr>
                <w:b/>
                <w:bCs/>
                <w:sz w:val="16"/>
                <w:szCs w:val="16"/>
              </w:rPr>
              <w:t>Descrever as qualificações técnico-profissionais e/ou técnico-operacionais exigidas</w:t>
            </w:r>
            <w:r>
              <w:rPr>
                <w:sz w:val="16"/>
                <w:szCs w:val="16"/>
              </w:rPr>
              <w:t>:</w:t>
            </w:r>
          </w:p>
        </w:tc>
        <w:tc>
          <w:tcPr>
            <w:tcW w:w="707" w:type="dxa"/>
            <w:tcBorders>
              <w:top w:val="single" w:sz="4" w:space="0" w:color="000000"/>
              <w:right w:val="single" w:sz="4" w:space="0" w:color="000000"/>
            </w:tcBorders>
            <w:vAlign w:val="center"/>
          </w:tcPr>
          <w:p w14:paraId="5D1E2CEB" w14:textId="77777777" w:rsidR="009D6A69" w:rsidRDefault="009D6A69">
            <w:pPr>
              <w:widowControl w:val="0"/>
              <w:ind w:firstLine="0"/>
              <w:jc w:val="left"/>
              <w:rPr>
                <w:sz w:val="16"/>
                <w:szCs w:val="16"/>
              </w:rPr>
            </w:pPr>
          </w:p>
        </w:tc>
      </w:tr>
      <w:tr w:rsidR="009D6A69" w14:paraId="02BF766A" w14:textId="77777777">
        <w:trPr>
          <w:trHeight w:val="312"/>
        </w:trPr>
        <w:tc>
          <w:tcPr>
            <w:tcW w:w="10313" w:type="dxa"/>
            <w:gridSpan w:val="3"/>
            <w:tcBorders>
              <w:left w:val="single" w:sz="4" w:space="0" w:color="000000"/>
              <w:bottom w:val="single" w:sz="4" w:space="0" w:color="000000"/>
              <w:right w:val="single" w:sz="4" w:space="0" w:color="000000"/>
            </w:tcBorders>
          </w:tcPr>
          <w:p w14:paraId="58EC77DE" w14:textId="05E742DC" w:rsidR="009D6A69" w:rsidRDefault="00693092">
            <w:pPr>
              <w:widowControl w:val="0"/>
              <w:ind w:firstLine="0"/>
            </w:pPr>
            <w:r w:rsidRPr="00693092">
              <w:rPr>
                <w:sz w:val="16"/>
                <w:szCs w:val="16"/>
              </w:rPr>
              <w:t xml:space="preserve">Curso </w:t>
            </w:r>
            <w:r w:rsidR="003860DB" w:rsidRPr="00693092">
              <w:rPr>
                <w:sz w:val="16"/>
                <w:szCs w:val="16"/>
              </w:rPr>
              <w:t xml:space="preserve">de qualificação como </w:t>
            </w:r>
            <w:r w:rsidR="00670FD4">
              <w:rPr>
                <w:sz w:val="16"/>
                <w:szCs w:val="16"/>
              </w:rPr>
              <w:t>á</w:t>
            </w:r>
            <w:r w:rsidR="003860DB" w:rsidRPr="00693092">
              <w:rPr>
                <w:sz w:val="16"/>
                <w:szCs w:val="16"/>
              </w:rPr>
              <w:t>rbitro federado – Apresentação de certificado de qualificação do nível de arbitro federado</w:t>
            </w:r>
            <w:r w:rsidRPr="00693092">
              <w:rPr>
                <w:sz w:val="16"/>
                <w:szCs w:val="16"/>
              </w:rPr>
              <w:t xml:space="preserve"> na LGF – Liga Gaúcha de Futsal.</w:t>
            </w:r>
          </w:p>
        </w:tc>
      </w:tr>
    </w:tbl>
    <w:p w14:paraId="062E702B" w14:textId="77777777" w:rsidR="009D6A69" w:rsidRDefault="009D6A69">
      <w:pPr>
        <w:ind w:firstLine="0"/>
      </w:pPr>
    </w:p>
    <w:tbl>
      <w:tblPr>
        <w:tblW w:w="10314" w:type="dxa"/>
        <w:tblLayout w:type="fixed"/>
        <w:tblLook w:val="04A0" w:firstRow="1" w:lastRow="0" w:firstColumn="1" w:lastColumn="0" w:noHBand="0" w:noVBand="1"/>
      </w:tblPr>
      <w:tblGrid>
        <w:gridCol w:w="2802"/>
        <w:gridCol w:w="6805"/>
        <w:gridCol w:w="707"/>
      </w:tblGrid>
      <w:tr w:rsidR="009D6A69" w14:paraId="78EBA84D" w14:textId="77777777">
        <w:tc>
          <w:tcPr>
            <w:tcW w:w="10313" w:type="dxa"/>
            <w:gridSpan w:val="3"/>
            <w:tcBorders>
              <w:top w:val="single" w:sz="4" w:space="0" w:color="000000"/>
              <w:left w:val="single" w:sz="4" w:space="0" w:color="000000"/>
              <w:bottom w:val="single" w:sz="4" w:space="0" w:color="000000"/>
              <w:right w:val="single" w:sz="4" w:space="0" w:color="000000"/>
            </w:tcBorders>
            <w:vAlign w:val="center"/>
          </w:tcPr>
          <w:p w14:paraId="3E91C2D1" w14:textId="77777777" w:rsidR="009D6A69" w:rsidRDefault="00693092">
            <w:pPr>
              <w:widowControl w:val="0"/>
              <w:ind w:firstLine="0"/>
              <w:jc w:val="center"/>
              <w:rPr>
                <w:b/>
                <w:bCs/>
                <w:szCs w:val="18"/>
              </w:rPr>
            </w:pPr>
            <w:r>
              <w:rPr>
                <w:b/>
                <w:bCs/>
                <w:szCs w:val="18"/>
              </w:rPr>
              <w:t>Exigência(s) de Qualificação Econômico-financeira(s)</w:t>
            </w:r>
          </w:p>
        </w:tc>
      </w:tr>
      <w:tr w:rsidR="009D6A69" w14:paraId="13334D97" w14:textId="77777777">
        <w:trPr>
          <w:trHeight w:val="252"/>
        </w:trPr>
        <w:tc>
          <w:tcPr>
            <w:tcW w:w="2802" w:type="dxa"/>
            <w:tcBorders>
              <w:top w:val="single" w:sz="4" w:space="0" w:color="000000"/>
              <w:left w:val="single" w:sz="4" w:space="0" w:color="000000"/>
              <w:bottom w:val="single" w:sz="4" w:space="0" w:color="000000"/>
              <w:right w:val="single" w:sz="4" w:space="0" w:color="000000"/>
            </w:tcBorders>
            <w:vAlign w:val="center"/>
          </w:tcPr>
          <w:p w14:paraId="03A48178" w14:textId="77777777" w:rsidR="009D6A69" w:rsidRDefault="00693092">
            <w:pPr>
              <w:widowControl w:val="0"/>
              <w:ind w:firstLine="0"/>
              <w:rPr>
                <w:sz w:val="16"/>
                <w:szCs w:val="16"/>
              </w:rPr>
            </w:pPr>
            <w:proofErr w:type="gramStart"/>
            <w:r>
              <w:rPr>
                <w:sz w:val="16"/>
                <w:szCs w:val="16"/>
              </w:rPr>
              <w:t>(  )</w:t>
            </w:r>
            <w:proofErr w:type="gramEnd"/>
            <w:r>
              <w:rPr>
                <w:sz w:val="16"/>
                <w:szCs w:val="16"/>
              </w:rPr>
              <w:t xml:space="preserve"> Não se aplica</w:t>
            </w:r>
          </w:p>
        </w:tc>
        <w:tc>
          <w:tcPr>
            <w:tcW w:w="7511" w:type="dxa"/>
            <w:gridSpan w:val="2"/>
            <w:tcBorders>
              <w:top w:val="single" w:sz="4" w:space="0" w:color="000000"/>
              <w:left w:val="single" w:sz="4" w:space="0" w:color="000000"/>
              <w:bottom w:val="single" w:sz="4" w:space="0" w:color="000000"/>
              <w:right w:val="single" w:sz="4" w:space="0" w:color="000000"/>
            </w:tcBorders>
            <w:vAlign w:val="center"/>
          </w:tcPr>
          <w:p w14:paraId="590796DC" w14:textId="77777777" w:rsidR="009D6A69" w:rsidRDefault="00693092">
            <w:pPr>
              <w:widowControl w:val="0"/>
              <w:ind w:firstLine="0"/>
              <w:rPr>
                <w:sz w:val="16"/>
                <w:szCs w:val="16"/>
              </w:rPr>
            </w:pPr>
            <w:proofErr w:type="gramStart"/>
            <w:r>
              <w:rPr>
                <w:sz w:val="16"/>
                <w:szCs w:val="16"/>
              </w:rPr>
              <w:t>( x</w:t>
            </w:r>
            <w:proofErr w:type="gramEnd"/>
            <w:r>
              <w:rPr>
                <w:sz w:val="16"/>
                <w:szCs w:val="16"/>
              </w:rPr>
              <w:t xml:space="preserve"> ) Sim, cfe. detalhado abaixo</w:t>
            </w:r>
          </w:p>
        </w:tc>
      </w:tr>
      <w:tr w:rsidR="009D6A69" w14:paraId="4E920C87" w14:textId="77777777">
        <w:trPr>
          <w:trHeight w:val="137"/>
        </w:trPr>
        <w:tc>
          <w:tcPr>
            <w:tcW w:w="9606" w:type="dxa"/>
            <w:gridSpan w:val="2"/>
            <w:tcBorders>
              <w:top w:val="single" w:sz="4" w:space="0" w:color="000000"/>
              <w:left w:val="single" w:sz="4" w:space="0" w:color="000000"/>
            </w:tcBorders>
            <w:vAlign w:val="center"/>
          </w:tcPr>
          <w:p w14:paraId="32346143" w14:textId="268E7901" w:rsidR="009D6A69" w:rsidRDefault="00693092">
            <w:pPr>
              <w:widowControl w:val="0"/>
              <w:ind w:firstLine="0"/>
              <w:jc w:val="left"/>
            </w:pPr>
            <w:r>
              <w:rPr>
                <w:b/>
                <w:bCs/>
                <w:sz w:val="16"/>
                <w:szCs w:val="16"/>
              </w:rPr>
              <w:t>Descrever as qualificações econômico-financeiras exigidas</w:t>
            </w:r>
            <w:r w:rsidR="003860DB">
              <w:rPr>
                <w:sz w:val="16"/>
                <w:szCs w:val="16"/>
              </w:rPr>
              <w:t>:</w:t>
            </w:r>
          </w:p>
        </w:tc>
        <w:tc>
          <w:tcPr>
            <w:tcW w:w="707" w:type="dxa"/>
            <w:tcBorders>
              <w:top w:val="single" w:sz="4" w:space="0" w:color="000000"/>
              <w:right w:val="single" w:sz="4" w:space="0" w:color="000000"/>
            </w:tcBorders>
            <w:vAlign w:val="center"/>
          </w:tcPr>
          <w:p w14:paraId="1E842527" w14:textId="77777777" w:rsidR="009D6A69" w:rsidRDefault="009D6A69">
            <w:pPr>
              <w:widowControl w:val="0"/>
              <w:ind w:firstLine="0"/>
              <w:jc w:val="left"/>
              <w:rPr>
                <w:sz w:val="16"/>
                <w:szCs w:val="16"/>
              </w:rPr>
            </w:pPr>
          </w:p>
        </w:tc>
      </w:tr>
      <w:tr w:rsidR="009D6A69" w14:paraId="1F997DD0" w14:textId="77777777" w:rsidTr="003860DB">
        <w:trPr>
          <w:trHeight w:val="375"/>
        </w:trPr>
        <w:tc>
          <w:tcPr>
            <w:tcW w:w="10313" w:type="dxa"/>
            <w:gridSpan w:val="3"/>
            <w:tcBorders>
              <w:left w:val="single" w:sz="4" w:space="0" w:color="000000"/>
              <w:bottom w:val="single" w:sz="4" w:space="0" w:color="000000"/>
              <w:right w:val="single" w:sz="4" w:space="0" w:color="000000"/>
            </w:tcBorders>
          </w:tcPr>
          <w:p w14:paraId="58646C3E" w14:textId="5803008F" w:rsidR="009D6A69" w:rsidRDefault="003860DB">
            <w:pPr>
              <w:widowControl w:val="0"/>
              <w:ind w:firstLine="0"/>
              <w:rPr>
                <w:sz w:val="16"/>
                <w:szCs w:val="16"/>
              </w:rPr>
            </w:pPr>
            <w:r w:rsidRPr="003860DB">
              <w:rPr>
                <w:sz w:val="16"/>
                <w:szCs w:val="16"/>
              </w:rPr>
              <w:t>De acordo com o art. 69 da NLLC 14.133/2021, “A habilitação econômico-financeira visa a demonstrar a aptidão econômica do licitante para cumprir as obrigações decorrentes do futuro contrato”, portanto, solicitamos a apresentação do documento presente em seu inciso II, “certidão negativa de feitos sobre falência expedida pelo distribuidor da sede do licitante”.</w:t>
            </w:r>
          </w:p>
        </w:tc>
      </w:tr>
    </w:tbl>
    <w:p w14:paraId="5E7C4EA1" w14:textId="77777777" w:rsidR="009D6A69" w:rsidRDefault="00693092">
      <w:pPr>
        <w:pStyle w:val="Ttulo1"/>
      </w:pPr>
      <w:r>
        <w:t>Fracionamento Indevido de Despesas e Crimes em Licitações e Contratos</w:t>
      </w:r>
    </w:p>
    <w:tbl>
      <w:tblPr>
        <w:tblW w:w="10314" w:type="dxa"/>
        <w:tblLayout w:type="fixed"/>
        <w:tblLook w:val="04A0" w:firstRow="1" w:lastRow="0" w:firstColumn="1" w:lastColumn="0" w:noHBand="0" w:noVBand="1"/>
      </w:tblPr>
      <w:tblGrid>
        <w:gridCol w:w="10314"/>
      </w:tblGrid>
      <w:tr w:rsidR="009D6A69" w14:paraId="2042E51B" w14:textId="77777777">
        <w:trPr>
          <w:trHeight w:val="194"/>
        </w:trPr>
        <w:tc>
          <w:tcPr>
            <w:tcW w:w="10314" w:type="dxa"/>
            <w:tcBorders>
              <w:top w:val="single" w:sz="4" w:space="0" w:color="000000"/>
              <w:left w:val="single" w:sz="4" w:space="0" w:color="000000"/>
              <w:bottom w:val="single" w:sz="4" w:space="0" w:color="000000"/>
              <w:right w:val="single" w:sz="4" w:space="0" w:color="000000"/>
            </w:tcBorders>
            <w:vAlign w:val="center"/>
          </w:tcPr>
          <w:p w14:paraId="61E16DEC" w14:textId="77777777" w:rsidR="009D6A69" w:rsidRDefault="00693092">
            <w:pPr>
              <w:widowControl w:val="0"/>
              <w:ind w:firstLine="0"/>
            </w:pPr>
            <w:bookmarkStart w:id="0" w:name="_Hlk127431031"/>
            <w:proofErr w:type="gramStart"/>
            <w:r>
              <w:rPr>
                <w:sz w:val="16"/>
                <w:szCs w:val="16"/>
              </w:rPr>
              <w:t>( x</w:t>
            </w:r>
            <w:proofErr w:type="gramEnd"/>
            <w:r>
              <w:rPr>
                <w:sz w:val="16"/>
                <w:szCs w:val="16"/>
              </w:rPr>
              <w:t xml:space="preserve"> ) </w:t>
            </w:r>
            <w:r>
              <w:rPr>
                <w:b/>
                <w:bCs/>
                <w:sz w:val="16"/>
                <w:szCs w:val="16"/>
              </w:rPr>
              <w:t>FOI(RAM) ANALISADA(S)</w:t>
            </w:r>
            <w:r>
              <w:rPr>
                <w:sz w:val="16"/>
                <w:szCs w:val="16"/>
              </w:rPr>
              <w:t xml:space="preserve"> à(s) divisibilidade(s) de todo(s) o(s) objeto(s) e </w:t>
            </w:r>
            <w:r>
              <w:rPr>
                <w:b/>
                <w:bCs/>
                <w:sz w:val="16"/>
                <w:szCs w:val="16"/>
              </w:rPr>
              <w:t>CONSTATAMOS QUE NÃO HÁ</w:t>
            </w:r>
            <w:r>
              <w:rPr>
                <w:sz w:val="16"/>
                <w:szCs w:val="16"/>
              </w:rPr>
              <w:t xml:space="preserve">, em virtude das transações realizadas pelo Município, contratações que caracterizem </w:t>
            </w:r>
            <w:r>
              <w:rPr>
                <w:b/>
                <w:bCs/>
                <w:sz w:val="16"/>
                <w:szCs w:val="16"/>
              </w:rPr>
              <w:t>FRACIONAMENTO INDEVIDO DE DESPESAS E/OU CRIMES EM LICITAÇÕES E CONTRATOS</w:t>
            </w:r>
            <w:r>
              <w:rPr>
                <w:sz w:val="16"/>
                <w:szCs w:val="16"/>
              </w:rPr>
              <w:t xml:space="preserve"> administrativos.</w:t>
            </w:r>
            <w:bookmarkEnd w:id="0"/>
          </w:p>
        </w:tc>
      </w:tr>
    </w:tbl>
    <w:p w14:paraId="415C05A4" w14:textId="77777777" w:rsidR="009D6A69" w:rsidRDefault="00693092">
      <w:pPr>
        <w:pStyle w:val="Ttulo1"/>
      </w:pPr>
      <w:r>
        <w:t>CLASSIFICAÇÃO DAs INFORMAÇÕES</w:t>
      </w:r>
    </w:p>
    <w:tbl>
      <w:tblPr>
        <w:tblW w:w="10314" w:type="dxa"/>
        <w:tblLayout w:type="fixed"/>
        <w:tblLook w:val="04A0" w:firstRow="1" w:lastRow="0" w:firstColumn="1" w:lastColumn="0" w:noHBand="0" w:noVBand="1"/>
      </w:tblPr>
      <w:tblGrid>
        <w:gridCol w:w="5158"/>
        <w:gridCol w:w="5156"/>
      </w:tblGrid>
      <w:tr w:rsidR="009D6A69" w14:paraId="14D23ED2" w14:textId="77777777">
        <w:tc>
          <w:tcPr>
            <w:tcW w:w="5157" w:type="dxa"/>
            <w:tcBorders>
              <w:top w:val="single" w:sz="4" w:space="0" w:color="000000"/>
              <w:left w:val="single" w:sz="4" w:space="0" w:color="000000"/>
              <w:bottom w:val="single" w:sz="4" w:space="0" w:color="000000"/>
              <w:right w:val="single" w:sz="4" w:space="0" w:color="000000"/>
            </w:tcBorders>
            <w:vAlign w:val="center"/>
          </w:tcPr>
          <w:p w14:paraId="02512D56" w14:textId="77777777" w:rsidR="009D6A69" w:rsidRDefault="00693092">
            <w:pPr>
              <w:widowControl w:val="0"/>
              <w:ind w:firstLine="0"/>
              <w:jc w:val="left"/>
              <w:rPr>
                <w:sz w:val="16"/>
                <w:szCs w:val="16"/>
              </w:rPr>
            </w:pPr>
            <w:proofErr w:type="gramStart"/>
            <w:r>
              <w:rPr>
                <w:sz w:val="16"/>
                <w:szCs w:val="16"/>
              </w:rPr>
              <w:t>( x</w:t>
            </w:r>
            <w:proofErr w:type="gramEnd"/>
            <w:r>
              <w:rPr>
                <w:sz w:val="16"/>
                <w:szCs w:val="16"/>
              </w:rPr>
              <w:t xml:space="preserve"> ) Pública, cfe. Art. 8º da Lei 12.527/2011  </w:t>
            </w:r>
          </w:p>
        </w:tc>
        <w:tc>
          <w:tcPr>
            <w:tcW w:w="5156" w:type="dxa"/>
            <w:tcBorders>
              <w:top w:val="single" w:sz="4" w:space="0" w:color="000000"/>
              <w:left w:val="single" w:sz="4" w:space="0" w:color="000000"/>
              <w:bottom w:val="single" w:sz="4" w:space="0" w:color="000000"/>
              <w:right w:val="single" w:sz="4" w:space="0" w:color="000000"/>
            </w:tcBorders>
            <w:vAlign w:val="center"/>
          </w:tcPr>
          <w:p w14:paraId="7F44FE07"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Reservada, cfe. Inciso III do §1º do Art. 24 da Lei 12.527/2011  </w:t>
            </w:r>
          </w:p>
        </w:tc>
      </w:tr>
      <w:tr w:rsidR="009D6A69" w14:paraId="0780B7D5" w14:textId="77777777">
        <w:tc>
          <w:tcPr>
            <w:tcW w:w="5157" w:type="dxa"/>
            <w:tcBorders>
              <w:top w:val="single" w:sz="4" w:space="0" w:color="000000"/>
              <w:left w:val="single" w:sz="4" w:space="0" w:color="000000"/>
              <w:bottom w:val="single" w:sz="4" w:space="0" w:color="000000"/>
              <w:right w:val="single" w:sz="4" w:space="0" w:color="000000"/>
            </w:tcBorders>
            <w:vAlign w:val="center"/>
          </w:tcPr>
          <w:p w14:paraId="60C0B476"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Secreta, cfe. Inciso II do §1º do Art. 24 da Lei 12.527/2011</w:t>
            </w:r>
          </w:p>
        </w:tc>
        <w:tc>
          <w:tcPr>
            <w:tcW w:w="5156" w:type="dxa"/>
            <w:tcBorders>
              <w:top w:val="single" w:sz="4" w:space="0" w:color="000000"/>
              <w:left w:val="single" w:sz="4" w:space="0" w:color="000000"/>
              <w:bottom w:val="single" w:sz="4" w:space="0" w:color="000000"/>
              <w:right w:val="single" w:sz="4" w:space="0" w:color="000000"/>
            </w:tcBorders>
            <w:vAlign w:val="center"/>
          </w:tcPr>
          <w:p w14:paraId="5BD7F938" w14:textId="77777777" w:rsidR="009D6A69" w:rsidRDefault="00693092">
            <w:pPr>
              <w:widowControl w:val="0"/>
              <w:ind w:firstLine="0"/>
              <w:jc w:val="left"/>
              <w:rPr>
                <w:sz w:val="16"/>
                <w:szCs w:val="16"/>
              </w:rPr>
            </w:pPr>
            <w:proofErr w:type="gramStart"/>
            <w:r>
              <w:rPr>
                <w:sz w:val="16"/>
                <w:szCs w:val="16"/>
              </w:rPr>
              <w:t>(  )</w:t>
            </w:r>
            <w:proofErr w:type="gramEnd"/>
            <w:r>
              <w:rPr>
                <w:sz w:val="16"/>
                <w:szCs w:val="16"/>
              </w:rPr>
              <w:t xml:space="preserve"> </w:t>
            </w:r>
            <w:proofErr w:type="spellStart"/>
            <w:r>
              <w:rPr>
                <w:sz w:val="16"/>
                <w:szCs w:val="16"/>
              </w:rPr>
              <w:t>Ultrasecreta</w:t>
            </w:r>
            <w:proofErr w:type="spellEnd"/>
            <w:r>
              <w:rPr>
                <w:sz w:val="16"/>
                <w:szCs w:val="16"/>
              </w:rPr>
              <w:t>, cfe. Inciso I do §1º do Art. 24 da Lei 12.527/2011</w:t>
            </w:r>
          </w:p>
        </w:tc>
      </w:tr>
    </w:tbl>
    <w:p w14:paraId="70191BBA" w14:textId="77777777" w:rsidR="009D6A69" w:rsidRDefault="009D6A69"/>
    <w:p w14:paraId="0E499500" w14:textId="1A58FB19" w:rsidR="009D6A69" w:rsidRDefault="003860DB">
      <w:pPr>
        <w:jc w:val="right"/>
      </w:pPr>
      <w:r>
        <w:t>Imigrante, 20 de maio de 2025.</w:t>
      </w:r>
    </w:p>
    <w:p w14:paraId="37E5E02A" w14:textId="77777777" w:rsidR="009D6A69" w:rsidRDefault="009D6A69">
      <w:pPr>
        <w:jc w:val="right"/>
      </w:pPr>
    </w:p>
    <w:p w14:paraId="1C4AAE07" w14:textId="77777777" w:rsidR="003860DB" w:rsidRDefault="003860DB">
      <w:pPr>
        <w:jc w:val="right"/>
      </w:pPr>
    </w:p>
    <w:p w14:paraId="0910E728" w14:textId="77777777" w:rsidR="003860DB" w:rsidRDefault="003860DB">
      <w:pPr>
        <w:jc w:val="right"/>
      </w:pPr>
    </w:p>
    <w:p w14:paraId="08D589D2" w14:textId="77777777" w:rsidR="009D6A69" w:rsidRDefault="00693092">
      <w:pPr>
        <w:widowControl w:val="0"/>
        <w:spacing w:after="160" w:line="259" w:lineRule="auto"/>
        <w:ind w:firstLine="0"/>
      </w:pPr>
      <w:r>
        <w:rPr>
          <w:noProof/>
        </w:rPr>
        <mc:AlternateContent>
          <mc:Choice Requires="wps">
            <w:drawing>
              <wp:anchor distT="0" distB="0" distL="89535" distR="89535" simplePos="0" relativeHeight="5" behindDoc="0" locked="0" layoutInCell="0" allowOverlap="1" wp14:anchorId="0314F99C" wp14:editId="56B8919D">
                <wp:simplePos x="0" y="0"/>
                <wp:positionH relativeFrom="margin">
                  <wp:align>center</wp:align>
                </wp:positionH>
                <wp:positionV relativeFrom="paragraph">
                  <wp:posOffset>52705</wp:posOffset>
                </wp:positionV>
                <wp:extent cx="3939540" cy="667385"/>
                <wp:effectExtent l="0" t="0" r="0" b="0"/>
                <wp:wrapSquare wrapText="bothSides"/>
                <wp:docPr id="1" name="Quadro1"/>
                <wp:cNvGraphicFramePr/>
                <a:graphic xmlns:a="http://schemas.openxmlformats.org/drawingml/2006/main">
                  <a:graphicData uri="http://schemas.microsoft.com/office/word/2010/wordprocessingShape">
                    <wps:wsp>
                      <wps:cNvSpPr/>
                      <wps:spPr>
                        <a:xfrm>
                          <a:off x="0" y="0"/>
                          <a:ext cx="3939480" cy="667440"/>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6204" w:type="dxa"/>
                              <w:jc w:val="center"/>
                              <w:tblLayout w:type="fixed"/>
                              <w:tblLook w:val="04A0" w:firstRow="1" w:lastRow="0" w:firstColumn="1" w:lastColumn="0" w:noHBand="0" w:noVBand="1"/>
                            </w:tblPr>
                            <w:tblGrid>
                              <w:gridCol w:w="6204"/>
                            </w:tblGrid>
                            <w:tr w:rsidR="009D6A69" w14:paraId="1C842011" w14:textId="77777777">
                              <w:trPr>
                                <w:jc w:val="center"/>
                              </w:trPr>
                              <w:tc>
                                <w:tcPr>
                                  <w:tcW w:w="6204" w:type="dxa"/>
                                  <w:tcBorders>
                                    <w:top w:val="single" w:sz="4" w:space="0" w:color="FFFFFF"/>
                                    <w:left w:val="single" w:sz="4" w:space="0" w:color="FFFFFF"/>
                                    <w:bottom w:val="single" w:sz="4" w:space="0" w:color="000000"/>
                                    <w:right w:val="single" w:sz="4" w:space="0" w:color="FFFFFF"/>
                                  </w:tcBorders>
                                </w:tcPr>
                                <w:p w14:paraId="4F55755C" w14:textId="77777777" w:rsidR="009D6A69" w:rsidRDefault="009D6A69">
                                  <w:pPr>
                                    <w:widowControl w:val="0"/>
                                    <w:tabs>
                                      <w:tab w:val="left" w:pos="1935"/>
                                    </w:tabs>
                                    <w:ind w:left="-142" w:firstLine="0"/>
                                  </w:pPr>
                                </w:p>
                              </w:tc>
                            </w:tr>
                            <w:tr w:rsidR="009D6A69" w14:paraId="05F0529B" w14:textId="77777777">
                              <w:trPr>
                                <w:jc w:val="center"/>
                              </w:trPr>
                              <w:tc>
                                <w:tcPr>
                                  <w:tcW w:w="6204" w:type="dxa"/>
                                  <w:tcBorders>
                                    <w:top w:val="single" w:sz="4" w:space="0" w:color="000000"/>
                                    <w:left w:val="single" w:sz="4" w:space="0" w:color="FFFFFF"/>
                                    <w:bottom w:val="single" w:sz="4" w:space="0" w:color="FFFFFF"/>
                                    <w:right w:val="single" w:sz="4" w:space="0" w:color="FFFFFF"/>
                                  </w:tcBorders>
                                  <w:vAlign w:val="center"/>
                                </w:tcPr>
                                <w:p w14:paraId="13CEF742" w14:textId="77777777" w:rsidR="009D6A69" w:rsidRDefault="00693092">
                                  <w:pPr>
                                    <w:widowControl w:val="0"/>
                                    <w:tabs>
                                      <w:tab w:val="left" w:pos="1935"/>
                                    </w:tabs>
                                    <w:ind w:firstLine="0"/>
                                    <w:jc w:val="center"/>
                                    <w:rPr>
                                      <w:b/>
                                      <w:bCs/>
                                    </w:rPr>
                                  </w:pPr>
                                  <w:r>
                                    <w:rPr>
                                      <w:b/>
                                      <w:bCs/>
                                    </w:rPr>
                                    <w:t>Charles Porsche</w:t>
                                  </w:r>
                                </w:p>
                              </w:tc>
                            </w:tr>
                            <w:tr w:rsidR="009D6A69" w14:paraId="117DC1BD" w14:textId="77777777">
                              <w:trPr>
                                <w:jc w:val="center"/>
                              </w:trPr>
                              <w:tc>
                                <w:tcPr>
                                  <w:tcW w:w="6204" w:type="dxa"/>
                                  <w:tcBorders>
                                    <w:top w:val="single" w:sz="4" w:space="0" w:color="FFFFFF"/>
                                    <w:left w:val="single" w:sz="4" w:space="0" w:color="FFFFFF"/>
                                    <w:bottom w:val="single" w:sz="4" w:space="0" w:color="FFFFFF"/>
                                    <w:right w:val="single" w:sz="4" w:space="0" w:color="FFFFFF"/>
                                  </w:tcBorders>
                                  <w:vAlign w:val="center"/>
                                </w:tcPr>
                                <w:p w14:paraId="29FA1D0E" w14:textId="77777777" w:rsidR="009D6A69" w:rsidRDefault="00693092">
                                  <w:pPr>
                                    <w:widowControl w:val="0"/>
                                    <w:tabs>
                                      <w:tab w:val="left" w:pos="1935"/>
                                    </w:tabs>
                                    <w:ind w:firstLine="0"/>
                                    <w:jc w:val="center"/>
                                  </w:pPr>
                                  <w:r>
                                    <w:t>Secretário Municipal da Cultura, Desporto e Turismo</w:t>
                                  </w:r>
                                </w:p>
                                <w:p w14:paraId="6F9DBD8D" w14:textId="007A09CD" w:rsidR="003860DB" w:rsidRDefault="003860DB">
                                  <w:pPr>
                                    <w:widowControl w:val="0"/>
                                    <w:tabs>
                                      <w:tab w:val="left" w:pos="1935"/>
                                    </w:tabs>
                                    <w:ind w:firstLine="0"/>
                                    <w:jc w:val="center"/>
                                  </w:pPr>
                                  <w:r>
                                    <w:t>SMCDT</w:t>
                                  </w:r>
                                </w:p>
                              </w:tc>
                            </w:tr>
                          </w:tbl>
                          <w:p w14:paraId="207E1859" w14:textId="77777777" w:rsidR="009D6A69" w:rsidRDefault="009D6A69">
                            <w:pPr>
                              <w:pStyle w:val="Contedodoquadro"/>
                              <w:rPr>
                                <w:color w:val="000000"/>
                              </w:rPr>
                            </w:pPr>
                          </w:p>
                        </w:txbxContent>
                      </wps:txbx>
                      <wps:bodyPr lIns="0" tIns="0" rIns="0" bIns="0" anchor="t">
                        <a:noAutofit/>
                      </wps:bodyPr>
                    </wps:wsp>
                  </a:graphicData>
                </a:graphic>
              </wp:anchor>
            </w:drawing>
          </mc:Choice>
          <mc:Fallback>
            <w:pict>
              <v:rect w14:anchorId="0314F99C" id="Quadro1" o:spid="_x0000_s1026" style="position:absolute;left:0;text-align:left;margin-left:0;margin-top:4.15pt;width:310.2pt;height:52.55pt;z-index:5;visibility:visible;mso-wrap-style:square;mso-wrap-distance-left:7.05pt;mso-wrap-distance-top:0;mso-wrap-distance-right:7.05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" o:allowincell="f" filled="f" stroked="f" strokeweight="0">
                <v:textbox inset="0,0,0,0">
                  <w:txbxContent>
                    <w:tbl>
                      <w:tblPr>
                        <w:tblW w:w="6204" w:type="dxa"/>
                        <w:jc w:val="center"/>
                        <w:tblLayout w:type="fixed"/>
                        <w:tblLook w:val="04A0" w:firstRow="1" w:lastRow="0" w:firstColumn="1" w:lastColumn="0" w:noHBand="0" w:noVBand="1"/>
                      </w:tblPr>
                      <w:tblGrid>
                        <w:gridCol w:w="6204"/>
                      </w:tblGrid>
                      <w:tr w:rsidR="009D6A69" w14:paraId="1C842011" w14:textId="77777777">
                        <w:trPr>
                          <w:jc w:val="center"/>
                        </w:trPr>
                        <w:tc>
                          <w:tcPr>
                            <w:tcW w:w="6204" w:type="dxa"/>
                            <w:tcBorders>
                              <w:top w:val="single" w:sz="4" w:space="0" w:color="FFFFFF"/>
                              <w:left w:val="single" w:sz="4" w:space="0" w:color="FFFFFF"/>
                              <w:bottom w:val="single" w:sz="4" w:space="0" w:color="000000"/>
                              <w:right w:val="single" w:sz="4" w:space="0" w:color="FFFFFF"/>
                            </w:tcBorders>
                          </w:tcPr>
                          <w:p w14:paraId="4F55755C" w14:textId="77777777" w:rsidR="009D6A69" w:rsidRDefault="009D6A69">
                            <w:pPr>
                              <w:widowControl w:val="0"/>
                              <w:tabs>
                                <w:tab w:val="left" w:pos="1935"/>
                              </w:tabs>
                              <w:ind w:left="-142" w:firstLine="0"/>
                            </w:pPr>
                          </w:p>
                        </w:tc>
                      </w:tr>
                      <w:tr w:rsidR="009D6A69" w14:paraId="05F0529B" w14:textId="77777777">
                        <w:trPr>
                          <w:jc w:val="center"/>
                        </w:trPr>
                        <w:tc>
                          <w:tcPr>
                            <w:tcW w:w="6204" w:type="dxa"/>
                            <w:tcBorders>
                              <w:top w:val="single" w:sz="4" w:space="0" w:color="000000"/>
                              <w:left w:val="single" w:sz="4" w:space="0" w:color="FFFFFF"/>
                              <w:bottom w:val="single" w:sz="4" w:space="0" w:color="FFFFFF"/>
                              <w:right w:val="single" w:sz="4" w:space="0" w:color="FFFFFF"/>
                            </w:tcBorders>
                            <w:vAlign w:val="center"/>
                          </w:tcPr>
                          <w:p w14:paraId="13CEF742" w14:textId="77777777" w:rsidR="009D6A69" w:rsidRDefault="00693092">
                            <w:pPr>
                              <w:widowControl w:val="0"/>
                              <w:tabs>
                                <w:tab w:val="left" w:pos="1935"/>
                              </w:tabs>
                              <w:ind w:firstLine="0"/>
                              <w:jc w:val="center"/>
                              <w:rPr>
                                <w:b/>
                                <w:bCs/>
                              </w:rPr>
                            </w:pPr>
                            <w:r>
                              <w:rPr>
                                <w:b/>
                                <w:bCs/>
                              </w:rPr>
                              <w:t>Charles Porsche</w:t>
                            </w:r>
                          </w:p>
                        </w:tc>
                      </w:tr>
                      <w:tr w:rsidR="009D6A69" w14:paraId="117DC1BD" w14:textId="77777777">
                        <w:trPr>
                          <w:jc w:val="center"/>
                        </w:trPr>
                        <w:tc>
                          <w:tcPr>
                            <w:tcW w:w="6204" w:type="dxa"/>
                            <w:tcBorders>
                              <w:top w:val="single" w:sz="4" w:space="0" w:color="FFFFFF"/>
                              <w:left w:val="single" w:sz="4" w:space="0" w:color="FFFFFF"/>
                              <w:bottom w:val="single" w:sz="4" w:space="0" w:color="FFFFFF"/>
                              <w:right w:val="single" w:sz="4" w:space="0" w:color="FFFFFF"/>
                            </w:tcBorders>
                            <w:vAlign w:val="center"/>
                          </w:tcPr>
                          <w:p w14:paraId="29FA1D0E" w14:textId="77777777" w:rsidR="009D6A69" w:rsidRDefault="00693092">
                            <w:pPr>
                              <w:widowControl w:val="0"/>
                              <w:tabs>
                                <w:tab w:val="left" w:pos="1935"/>
                              </w:tabs>
                              <w:ind w:firstLine="0"/>
                              <w:jc w:val="center"/>
                            </w:pPr>
                            <w:r>
                              <w:t>Secretário Municipal da Cultura, Desporto e Turismo</w:t>
                            </w:r>
                          </w:p>
                          <w:p w14:paraId="6F9DBD8D" w14:textId="007A09CD" w:rsidR="003860DB" w:rsidRDefault="003860DB">
                            <w:pPr>
                              <w:widowControl w:val="0"/>
                              <w:tabs>
                                <w:tab w:val="left" w:pos="1935"/>
                              </w:tabs>
                              <w:ind w:firstLine="0"/>
                              <w:jc w:val="center"/>
                            </w:pPr>
                            <w:r>
                              <w:t>SMCDT</w:t>
                            </w:r>
                          </w:p>
                        </w:tc>
                      </w:tr>
                    </w:tbl>
                    <w:p w14:paraId="207E1859" w14:textId="77777777" w:rsidR="009D6A69" w:rsidRDefault="009D6A69">
                      <w:pPr>
                        <w:pStyle w:val="Contedodoquadro"/>
                        <w:rPr>
                          <w:color w:val="000000"/>
                        </w:rPr>
                      </w:pPr>
                    </w:p>
                  </w:txbxContent>
                </v:textbox>
                <w10:wrap type="square" anchorx="margin"/>
              </v:rect>
            </w:pict>
          </mc:Fallback>
        </mc:AlternateContent>
      </w:r>
    </w:p>
    <w:sectPr w:rsidR="009D6A69">
      <w:headerReference w:type="default" r:id="rId8"/>
      <w:footerReference w:type="default" r:id="rId9"/>
      <w:headerReference w:type="first" r:id="rId10"/>
      <w:footerReference w:type="first" r:id="rId11"/>
      <w:pgSz w:w="11906" w:h="16838"/>
      <w:pgMar w:top="1418" w:right="851" w:bottom="851" w:left="851" w:header="113"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7EC22" w14:textId="77777777" w:rsidR="00693092" w:rsidRDefault="00693092">
      <w:pPr>
        <w:spacing w:after="0"/>
      </w:pPr>
      <w:r>
        <w:separator/>
      </w:r>
    </w:p>
  </w:endnote>
  <w:endnote w:type="continuationSeparator" w:id="0">
    <w:p w14:paraId="425BEE79" w14:textId="77777777" w:rsidR="00693092" w:rsidRDefault="00693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charset w:val="00"/>
    <w:family w:val="roman"/>
    <w:pitch w:val="variable"/>
  </w:font>
  <w:font w:name="ArialMT">
    <w:altName w:val="Arial"/>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BAA1" w14:textId="77777777" w:rsidR="009D6A69" w:rsidRDefault="00693092">
    <w:pPr>
      <w:pStyle w:val="Rodap"/>
      <w:jc w:val="right"/>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p w14:paraId="19B092EC" w14:textId="77777777" w:rsidR="009D6A69" w:rsidRDefault="009D6A69">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481C" w14:textId="77777777" w:rsidR="009D6A69" w:rsidRDefault="00693092">
    <w:pPr>
      <w:pStyle w:val="Rodap"/>
      <w:jc w:val="right"/>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p w14:paraId="01B10E7A" w14:textId="77777777" w:rsidR="009D6A69" w:rsidRDefault="009D6A6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0B208" w14:textId="77777777" w:rsidR="00693092" w:rsidRDefault="00693092">
      <w:pPr>
        <w:spacing w:after="0"/>
      </w:pPr>
      <w:r>
        <w:separator/>
      </w:r>
    </w:p>
  </w:footnote>
  <w:footnote w:type="continuationSeparator" w:id="0">
    <w:p w14:paraId="5E43DDBE" w14:textId="77777777" w:rsidR="00693092" w:rsidRDefault="006930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7930A" w14:textId="77777777" w:rsidR="009D6A69" w:rsidRDefault="009D6A69">
    <w:pPr>
      <w:pStyle w:val="Cabealho"/>
    </w:pPr>
  </w:p>
  <w:tbl>
    <w:tblPr>
      <w:tblW w:w="10201" w:type="dxa"/>
      <w:tblLayout w:type="fixed"/>
      <w:tblLook w:val="04A0" w:firstRow="1" w:lastRow="0" w:firstColumn="1" w:lastColumn="0" w:noHBand="0" w:noVBand="1"/>
    </w:tblPr>
    <w:tblGrid>
      <w:gridCol w:w="1838"/>
      <w:gridCol w:w="4955"/>
      <w:gridCol w:w="3408"/>
    </w:tblGrid>
    <w:tr w:rsidR="009D6A69" w14:paraId="440C88B1"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3540A4E6" w14:textId="77777777" w:rsidR="009D6A69" w:rsidRDefault="00693092">
          <w:pPr>
            <w:pStyle w:val="Cabealho"/>
            <w:widowControl w:val="0"/>
            <w:ind w:firstLine="0"/>
            <w:jc w:val="center"/>
          </w:pPr>
          <w:r>
            <w:rPr>
              <w:noProof/>
            </w:rPr>
            <w:drawing>
              <wp:inline distT="0" distB="0" distL="0" distR="0" wp14:anchorId="5D65B912" wp14:editId="2279BD17">
                <wp:extent cx="571500" cy="584200"/>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6"/>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5" w:type="dxa"/>
          <w:tcBorders>
            <w:top w:val="single" w:sz="4" w:space="0" w:color="FFFFFF"/>
            <w:left w:val="single" w:sz="4" w:space="0" w:color="FFFFFF"/>
            <w:bottom w:val="single" w:sz="4" w:space="0" w:color="FFFFFF"/>
            <w:right w:val="single" w:sz="4" w:space="0" w:color="FFFFFF"/>
          </w:tcBorders>
          <w:vAlign w:val="center"/>
        </w:tcPr>
        <w:p w14:paraId="0C02E339" w14:textId="77777777" w:rsidR="009D6A69" w:rsidRDefault="00693092">
          <w:pPr>
            <w:pStyle w:val="Cabealho"/>
            <w:widowControl w:val="0"/>
            <w:ind w:firstLine="0"/>
          </w:pPr>
          <w:r>
            <w:t>ESTADO DO RIO GRANDE DO SUL</w:t>
          </w:r>
        </w:p>
        <w:p w14:paraId="65D3C91D" w14:textId="77777777" w:rsidR="009D6A69" w:rsidRDefault="00693092">
          <w:pPr>
            <w:pStyle w:val="Cabealho"/>
            <w:widowControl w:val="0"/>
            <w:ind w:firstLine="0"/>
            <w:rPr>
              <w:b/>
              <w:bCs/>
            </w:rPr>
          </w:pPr>
          <w:r>
            <w:rPr>
              <w:b/>
              <w:bCs/>
            </w:rPr>
            <w:t>MUNICÍPIO DE IMIGRANTE</w:t>
          </w:r>
        </w:p>
      </w:tc>
      <w:tc>
        <w:tcPr>
          <w:tcW w:w="3408" w:type="dxa"/>
          <w:tcBorders>
            <w:top w:val="single" w:sz="4" w:space="0" w:color="FFFFFF"/>
            <w:left w:val="single" w:sz="4" w:space="0" w:color="FFFFFF"/>
            <w:bottom w:val="single" w:sz="4" w:space="0" w:color="FFFFFF"/>
            <w:right w:val="single" w:sz="4" w:space="0" w:color="FFFFFF"/>
          </w:tcBorders>
          <w:vAlign w:val="center"/>
        </w:tcPr>
        <w:p w14:paraId="08D73B59" w14:textId="77777777" w:rsidR="009D6A69" w:rsidRDefault="009D6A69">
          <w:pPr>
            <w:pStyle w:val="Cabealho"/>
            <w:widowControl w:val="0"/>
            <w:ind w:firstLine="0"/>
            <w:jc w:val="center"/>
          </w:pPr>
        </w:p>
      </w:tc>
    </w:tr>
  </w:tbl>
  <w:p w14:paraId="2FE4D375" w14:textId="77777777" w:rsidR="009D6A69" w:rsidRDefault="009D6A69">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D2535" w14:textId="77777777" w:rsidR="009D6A69" w:rsidRDefault="009D6A69">
    <w:pPr>
      <w:pStyle w:val="Cabealho"/>
    </w:pPr>
  </w:p>
  <w:tbl>
    <w:tblPr>
      <w:tblW w:w="10201" w:type="dxa"/>
      <w:tblLayout w:type="fixed"/>
      <w:tblLook w:val="04A0" w:firstRow="1" w:lastRow="0" w:firstColumn="1" w:lastColumn="0" w:noHBand="0" w:noVBand="1"/>
    </w:tblPr>
    <w:tblGrid>
      <w:gridCol w:w="1838"/>
      <w:gridCol w:w="4955"/>
      <w:gridCol w:w="3408"/>
    </w:tblGrid>
    <w:tr w:rsidR="009D6A69" w14:paraId="4A66574A"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7FB92B15" w14:textId="77777777" w:rsidR="009D6A69" w:rsidRDefault="00693092">
          <w:pPr>
            <w:pStyle w:val="Cabealho"/>
            <w:widowControl w:val="0"/>
            <w:ind w:firstLine="0"/>
            <w:jc w:val="center"/>
          </w:pPr>
          <w:r>
            <w:rPr>
              <w:noProof/>
            </w:rPr>
            <w:drawing>
              <wp:inline distT="0" distB="0" distL="0" distR="0" wp14:anchorId="3357E755" wp14:editId="4E5288C3">
                <wp:extent cx="571500" cy="584200"/>
                <wp:effectExtent l="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5" w:type="dxa"/>
          <w:tcBorders>
            <w:top w:val="single" w:sz="4" w:space="0" w:color="FFFFFF"/>
            <w:left w:val="single" w:sz="4" w:space="0" w:color="FFFFFF"/>
            <w:bottom w:val="single" w:sz="4" w:space="0" w:color="FFFFFF"/>
            <w:right w:val="single" w:sz="4" w:space="0" w:color="FFFFFF"/>
          </w:tcBorders>
          <w:vAlign w:val="center"/>
        </w:tcPr>
        <w:p w14:paraId="7DB6B3BE" w14:textId="77777777" w:rsidR="009D6A69" w:rsidRDefault="00693092">
          <w:pPr>
            <w:pStyle w:val="Cabealho"/>
            <w:widowControl w:val="0"/>
            <w:ind w:firstLine="0"/>
          </w:pPr>
          <w:r>
            <w:t>ESTADO DO RIO GRANDE DO SUL</w:t>
          </w:r>
        </w:p>
        <w:p w14:paraId="651A8E9C" w14:textId="77777777" w:rsidR="009D6A69" w:rsidRDefault="00693092">
          <w:pPr>
            <w:pStyle w:val="Cabealho"/>
            <w:widowControl w:val="0"/>
            <w:ind w:firstLine="0"/>
            <w:rPr>
              <w:b/>
              <w:bCs/>
            </w:rPr>
          </w:pPr>
          <w:r>
            <w:rPr>
              <w:b/>
              <w:bCs/>
            </w:rPr>
            <w:t>MUNICÍPIO DE IMIGRANTE</w:t>
          </w:r>
        </w:p>
      </w:tc>
      <w:tc>
        <w:tcPr>
          <w:tcW w:w="3408" w:type="dxa"/>
          <w:tcBorders>
            <w:top w:val="single" w:sz="4" w:space="0" w:color="FFFFFF"/>
            <w:left w:val="single" w:sz="4" w:space="0" w:color="FFFFFF"/>
            <w:bottom w:val="single" w:sz="4" w:space="0" w:color="FFFFFF"/>
            <w:right w:val="single" w:sz="4" w:space="0" w:color="FFFFFF"/>
          </w:tcBorders>
          <w:vAlign w:val="center"/>
        </w:tcPr>
        <w:p w14:paraId="46DDE9FD" w14:textId="77777777" w:rsidR="009D6A69" w:rsidRDefault="009D6A69">
          <w:pPr>
            <w:pStyle w:val="Cabealho"/>
            <w:widowControl w:val="0"/>
            <w:ind w:firstLine="0"/>
            <w:jc w:val="center"/>
          </w:pPr>
        </w:p>
      </w:tc>
    </w:tr>
  </w:tbl>
  <w:p w14:paraId="532F9D8E" w14:textId="77777777" w:rsidR="009D6A69" w:rsidRDefault="009D6A6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77939"/>
    <w:multiLevelType w:val="multilevel"/>
    <w:tmpl w:val="9A6EEBAA"/>
    <w:lvl w:ilvl="0">
      <w:start w:val="1"/>
      <w:numFmt w:val="decimal"/>
      <w:pStyle w:val="Ttulo1"/>
      <w:lvlText w:val="%1"/>
      <w:lvlJc w:val="left"/>
      <w:pPr>
        <w:tabs>
          <w:tab w:val="num" w:pos="0"/>
        </w:tabs>
        <w:ind w:left="432" w:hanging="432"/>
      </w:pPr>
      <w:rPr>
        <w:u w:val="single"/>
      </w:rPr>
    </w:lvl>
    <w:lvl w:ilvl="1">
      <w:start w:val="1"/>
      <w:numFmt w:val="decimal"/>
      <w:pStyle w:val="Ttulo2"/>
      <w:lvlText w:val="%1.%2"/>
      <w:lvlJc w:val="left"/>
      <w:pPr>
        <w:tabs>
          <w:tab w:val="num" w:pos="0"/>
        </w:tabs>
        <w:ind w:left="5822" w:hanging="576"/>
      </w:pPr>
      <w:rPr>
        <w:b w:val="0"/>
        <w:sz w:val="16"/>
        <w:u w:val="single"/>
      </w:rPr>
    </w:lvl>
    <w:lvl w:ilvl="2">
      <w:start w:val="1"/>
      <w:numFmt w:val="decimal"/>
      <w:pStyle w:val="Ttulo3"/>
      <w:lvlText w:val="%1.%2.%3"/>
      <w:lvlJc w:val="left"/>
      <w:pPr>
        <w:tabs>
          <w:tab w:val="num" w:pos="0"/>
        </w:tabs>
        <w:ind w:left="720" w:hanging="720"/>
      </w:pPr>
    </w:lvl>
    <w:lvl w:ilvl="3">
      <w:start w:val="1"/>
      <w:numFmt w:val="decimal"/>
      <w:pStyle w:val="Ttulo4"/>
      <w:lvlText w:val="%1.%2.%3.%4"/>
      <w:lvlJc w:val="left"/>
      <w:pPr>
        <w:tabs>
          <w:tab w:val="num" w:pos="0"/>
        </w:tabs>
        <w:ind w:left="3275"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abstractNum w:abstractNumId="1" w15:restartNumberingAfterBreak="0">
    <w:nsid w:val="4F536CF5"/>
    <w:multiLevelType w:val="multilevel"/>
    <w:tmpl w:val="7F58BE32"/>
    <w:lvl w:ilvl="0">
      <w:start w:val="1"/>
      <w:numFmt w:val="none"/>
      <w:pStyle w:val="EmentaLicitao"/>
      <w:suff w:val="nothing"/>
      <w:lvlText w:val="%1"/>
      <w:lvlJc w:val="left"/>
      <w:pPr>
        <w:tabs>
          <w:tab w:val="num" w:pos="0"/>
        </w:tabs>
        <w:ind w:left="432" w:hanging="432"/>
      </w:pPr>
      <w:rPr>
        <w:rFonts w:cs="Cambria"/>
        <w:i/>
        <w:sz w:val="24"/>
        <w:szCs w:val="24"/>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num w:numId="1" w16cid:durableId="1873223488">
    <w:abstractNumId w:val="0"/>
  </w:num>
  <w:num w:numId="2" w16cid:durableId="5257580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A69"/>
    <w:rsid w:val="001457E3"/>
    <w:rsid w:val="003860DB"/>
    <w:rsid w:val="00641DEE"/>
    <w:rsid w:val="006549E5"/>
    <w:rsid w:val="00670FD4"/>
    <w:rsid w:val="00693092"/>
    <w:rsid w:val="007E7AFE"/>
    <w:rsid w:val="008C620A"/>
    <w:rsid w:val="009D6A69"/>
    <w:rsid w:val="00CC75F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3D092"/>
  <w15:docId w15:val="{026A870F-976E-4B10-A2E1-CA5710F2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ind w:firstLine="284"/>
      <w:contextualSpacing/>
      <w:jc w:val="both"/>
    </w:pPr>
    <w:rPr>
      <w:rFonts w:ascii="Tahoma" w:hAnsi="Tahoma"/>
      <w:sz w:val="18"/>
    </w:rPr>
  </w:style>
  <w:style w:type="paragraph" w:styleId="Ttulo1">
    <w:name w:val="heading 1"/>
    <w:basedOn w:val="Normal"/>
    <w:next w:val="Normal"/>
    <w:link w:val="Ttulo1Char"/>
    <w:uiPriority w:val="9"/>
    <w:qFormat/>
    <w:pPr>
      <w:keepNext/>
      <w:keepLines/>
      <w:numPr>
        <w:numId w:val="1"/>
      </w:numPr>
      <w:spacing w:before="300" w:after="100"/>
      <w:ind w:left="850" w:hanging="425"/>
      <w:outlineLvl w:val="0"/>
    </w:pPr>
    <w:rPr>
      <w:b/>
      <w:i/>
      <w:caps/>
      <w:szCs w:val="32"/>
      <w:u w:val="single"/>
    </w:rPr>
  </w:style>
  <w:style w:type="paragraph" w:styleId="Ttulo2">
    <w:name w:val="heading 2"/>
    <w:basedOn w:val="Ttulo1"/>
    <w:next w:val="Normal"/>
    <w:link w:val="Ttulo2Char"/>
    <w:uiPriority w:val="9"/>
    <w:semiHidden/>
    <w:unhideWhenUsed/>
    <w:qFormat/>
    <w:pPr>
      <w:numPr>
        <w:ilvl w:val="1"/>
      </w:numPr>
      <w:spacing w:before="240"/>
      <w:ind w:left="992" w:hanging="425"/>
      <w:outlineLvl w:val="1"/>
    </w:pPr>
    <w:rPr>
      <w:rFonts w:ascii="Arial" w:hAnsi="Arial"/>
      <w:b w:val="0"/>
      <w:sz w:val="16"/>
      <w:u w:val="none"/>
    </w:rPr>
  </w:style>
  <w:style w:type="paragraph" w:styleId="Ttulo3">
    <w:name w:val="heading 3"/>
    <w:basedOn w:val="Normal"/>
    <w:next w:val="Normal"/>
    <w:link w:val="Ttulo3Char"/>
    <w:uiPriority w:val="9"/>
    <w:semiHidden/>
    <w:unhideWhenUsed/>
    <w:qFormat/>
    <w:pPr>
      <w:keepNext/>
      <w:keepLines/>
      <w:numPr>
        <w:ilvl w:val="2"/>
        <w:numId w:val="1"/>
      </w:numPr>
      <w:spacing w:before="240" w:after="100"/>
      <w:ind w:left="1134" w:hanging="425"/>
      <w:outlineLvl w:val="2"/>
    </w:pPr>
    <w:rPr>
      <w:b/>
      <w:smallCaps/>
      <w:sz w:val="16"/>
      <w:szCs w:val="24"/>
      <w:u w:val="single"/>
    </w:rPr>
  </w:style>
  <w:style w:type="paragraph" w:styleId="Ttulo4">
    <w:name w:val="heading 4"/>
    <w:basedOn w:val="Normal"/>
    <w:next w:val="Normal"/>
    <w:link w:val="Ttulo4Char"/>
    <w:uiPriority w:val="9"/>
    <w:semiHidden/>
    <w:unhideWhenUsed/>
    <w:qFormat/>
    <w:pPr>
      <w:keepNext/>
      <w:keepLines/>
      <w:numPr>
        <w:ilvl w:val="3"/>
        <w:numId w:val="1"/>
      </w:numPr>
      <w:spacing w:before="360" w:after="240"/>
      <w:ind w:left="1701" w:firstLine="0"/>
      <w:outlineLvl w:val="3"/>
    </w:pPr>
    <w:rPr>
      <w:i/>
      <w:iCs/>
    </w:rPr>
  </w:style>
  <w:style w:type="paragraph" w:styleId="Ttulo5">
    <w:name w:val="heading 5"/>
    <w:basedOn w:val="Normal"/>
    <w:next w:val="Normal"/>
    <w:link w:val="Ttulo5Char"/>
    <w:uiPriority w:val="9"/>
    <w:semiHidden/>
    <w:unhideWhenUsed/>
    <w:qFormat/>
    <w:pPr>
      <w:keepNext/>
      <w:keepLines/>
      <w:numPr>
        <w:ilvl w:val="4"/>
        <w:numId w:val="1"/>
      </w:numPr>
      <w:spacing w:before="40" w:after="0"/>
      <w:outlineLvl w:val="4"/>
    </w:pPr>
    <w:rPr>
      <w:rFonts w:ascii="Calibri Light" w:hAnsi="Calibri Light"/>
      <w:color w:val="2F5496"/>
    </w:rPr>
  </w:style>
  <w:style w:type="paragraph" w:styleId="Ttulo6">
    <w:name w:val="heading 6"/>
    <w:basedOn w:val="Normal"/>
    <w:next w:val="Normal"/>
    <w:link w:val="Ttulo6Char"/>
    <w:uiPriority w:val="9"/>
    <w:semiHidden/>
    <w:unhideWhenUsed/>
    <w:qFormat/>
    <w:pPr>
      <w:keepNext/>
      <w:keepLines/>
      <w:numPr>
        <w:ilvl w:val="5"/>
        <w:numId w:val="1"/>
      </w:numPr>
      <w:spacing w:before="40" w:after="0"/>
      <w:outlineLvl w:val="5"/>
    </w:pPr>
    <w:rPr>
      <w:rFonts w:ascii="Calibri Light" w:hAnsi="Calibri Light"/>
      <w:color w:val="1F3763"/>
    </w:rPr>
  </w:style>
  <w:style w:type="paragraph" w:styleId="Ttulo7">
    <w:name w:val="heading 7"/>
    <w:basedOn w:val="Normal"/>
    <w:next w:val="Normal"/>
    <w:link w:val="Ttulo7Char"/>
    <w:qFormat/>
    <w:pPr>
      <w:keepNext/>
      <w:keepLines/>
      <w:numPr>
        <w:ilvl w:val="6"/>
        <w:numId w:val="1"/>
      </w:numPr>
      <w:spacing w:before="40" w:after="0"/>
      <w:outlineLvl w:val="6"/>
    </w:pPr>
    <w:rPr>
      <w:rFonts w:ascii="Calibri Light" w:hAnsi="Calibri Light"/>
      <w:i/>
      <w:iCs/>
      <w:color w:val="1F3763"/>
    </w:rPr>
  </w:style>
  <w:style w:type="paragraph" w:styleId="Ttulo8">
    <w:name w:val="heading 8"/>
    <w:basedOn w:val="Normal"/>
    <w:next w:val="Normal"/>
    <w:link w:val="Ttulo8Char"/>
    <w:qFormat/>
    <w:pPr>
      <w:keepNext/>
      <w:keepLines/>
      <w:numPr>
        <w:ilvl w:val="7"/>
        <w:numId w:val="1"/>
      </w:numPr>
      <w:spacing w:before="40" w:after="0"/>
      <w:outlineLvl w:val="7"/>
    </w:pPr>
    <w:rPr>
      <w:rFonts w:ascii="Calibri Light" w:hAnsi="Calibri Light"/>
      <w:color w:val="272727"/>
      <w:sz w:val="21"/>
      <w:szCs w:val="21"/>
    </w:rPr>
  </w:style>
  <w:style w:type="paragraph" w:styleId="Ttulo9">
    <w:name w:val="heading 9"/>
    <w:basedOn w:val="Normal"/>
    <w:next w:val="Normal"/>
    <w:link w:val="Ttulo9Char"/>
    <w:qFormat/>
    <w:pPr>
      <w:keepNext/>
      <w:keepLines/>
      <w:numPr>
        <w:ilvl w:val="8"/>
        <w:numId w:val="1"/>
      </w:numPr>
      <w:spacing w:before="40" w:after="0"/>
      <w:outlineLvl w:val="8"/>
    </w:pPr>
    <w:rPr>
      <w:rFonts w:ascii="Calibri Light" w:hAnsi="Calibri Light"/>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qFormat/>
    <w:rPr>
      <w:rFonts w:ascii="Tahoma" w:hAnsi="Tahoma"/>
      <w:sz w:val="20"/>
    </w:rPr>
  </w:style>
  <w:style w:type="character" w:customStyle="1" w:styleId="RodapChar">
    <w:name w:val="Rodapé Char"/>
    <w:basedOn w:val="Fontepargpadro"/>
    <w:link w:val="Rodap"/>
    <w:qFormat/>
    <w:rPr>
      <w:rFonts w:ascii="Tahoma" w:hAnsi="Tahoma"/>
      <w:sz w:val="20"/>
    </w:rPr>
  </w:style>
  <w:style w:type="character" w:customStyle="1" w:styleId="Ttulo1Char">
    <w:name w:val="Título 1 Char"/>
    <w:basedOn w:val="Fontepargpadro"/>
    <w:link w:val="Ttulo1"/>
    <w:qFormat/>
    <w:rPr>
      <w:rFonts w:ascii="Tahoma" w:eastAsia="Calibri" w:hAnsi="Tahoma" w:cs="Tahoma"/>
      <w:b/>
      <w:i/>
      <w:caps/>
      <w:sz w:val="18"/>
      <w:szCs w:val="32"/>
      <w:u w:val="single"/>
    </w:rPr>
  </w:style>
  <w:style w:type="character" w:customStyle="1" w:styleId="LinkdaInternet">
    <w:name w:val="Link da Internet"/>
    <w:basedOn w:val="Fontepargpadro"/>
    <w:rPr>
      <w:color w:val="0563C1"/>
      <w:u w:val="single"/>
    </w:rPr>
  </w:style>
  <w:style w:type="character" w:styleId="MenoPendente">
    <w:name w:val="Unresolved Mention"/>
    <w:basedOn w:val="Fontepargpadro"/>
    <w:qFormat/>
    <w:rPr>
      <w:color w:val="605E5C"/>
      <w:shd w:val="clear" w:color="auto" w:fill="E1DFDD"/>
    </w:rPr>
  </w:style>
  <w:style w:type="character" w:customStyle="1" w:styleId="Ttulo2Char">
    <w:name w:val="Título 2 Char"/>
    <w:basedOn w:val="Fontepargpadro"/>
    <w:link w:val="Ttulo2"/>
    <w:qFormat/>
    <w:rPr>
      <w:rFonts w:ascii="Tahoma" w:eastAsia="Calibri" w:hAnsi="Tahoma" w:cs="Tahoma"/>
      <w:b/>
      <w:i/>
      <w:caps/>
      <w:sz w:val="16"/>
      <w:szCs w:val="32"/>
      <w:u w:val="single"/>
    </w:rPr>
  </w:style>
  <w:style w:type="character" w:customStyle="1" w:styleId="TextodebaloChar">
    <w:name w:val="Texto de balão Char"/>
    <w:basedOn w:val="Fontepargpadro"/>
    <w:link w:val="Textodebalo"/>
    <w:qFormat/>
    <w:rPr>
      <w:rFonts w:ascii="Segoe UI" w:hAnsi="Segoe UI" w:cs="Segoe UI"/>
      <w:sz w:val="18"/>
      <w:szCs w:val="18"/>
    </w:rPr>
  </w:style>
  <w:style w:type="character" w:styleId="Refdecomentrio">
    <w:name w:val="annotation reference"/>
    <w:basedOn w:val="Fontepargpadro"/>
    <w:qFormat/>
    <w:rPr>
      <w:sz w:val="16"/>
      <w:szCs w:val="16"/>
    </w:rPr>
  </w:style>
  <w:style w:type="character" w:customStyle="1" w:styleId="TextodecomentrioChar">
    <w:name w:val="Texto de comentário Char"/>
    <w:basedOn w:val="Fontepargpadro"/>
    <w:link w:val="Textodecomentrio"/>
    <w:qFormat/>
    <w:rPr>
      <w:rFonts w:ascii="Tahoma" w:hAnsi="Tahoma"/>
      <w:sz w:val="20"/>
      <w:szCs w:val="20"/>
    </w:rPr>
  </w:style>
  <w:style w:type="character" w:customStyle="1" w:styleId="AssuntodocomentrioChar">
    <w:name w:val="Assunto do comentário Char"/>
    <w:basedOn w:val="TextodecomentrioChar"/>
    <w:link w:val="Assuntodocomentrio"/>
    <w:qFormat/>
    <w:rPr>
      <w:rFonts w:ascii="Tahoma" w:hAnsi="Tahoma"/>
      <w:b/>
      <w:bCs/>
      <w:sz w:val="20"/>
      <w:szCs w:val="20"/>
    </w:rPr>
  </w:style>
  <w:style w:type="character" w:customStyle="1" w:styleId="Ttulo3Char">
    <w:name w:val="Título 3 Char"/>
    <w:basedOn w:val="Fontepargpadro"/>
    <w:link w:val="Ttulo3"/>
    <w:qFormat/>
    <w:rPr>
      <w:rFonts w:ascii="Tahoma" w:eastAsia="Calibri" w:hAnsi="Tahoma" w:cs="Tahoma"/>
      <w:b/>
      <w:smallCaps/>
      <w:sz w:val="16"/>
      <w:szCs w:val="24"/>
      <w:u w:val="single"/>
    </w:rPr>
  </w:style>
  <w:style w:type="character" w:customStyle="1" w:styleId="TextodenotaderodapChar">
    <w:name w:val="Texto de nota de rodapé Char"/>
    <w:basedOn w:val="Fontepargpadro"/>
    <w:link w:val="Textodenotaderodap"/>
    <w:qFormat/>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qFormat/>
    <w:rPr>
      <w:vertAlign w:val="superscript"/>
    </w:rPr>
  </w:style>
  <w:style w:type="character" w:customStyle="1" w:styleId="CitaoChar">
    <w:name w:val="Citação Char"/>
    <w:basedOn w:val="Fontepargpadro"/>
    <w:link w:val="Citao"/>
    <w:qFormat/>
    <w:rPr>
      <w:rFonts w:ascii="Tahoma" w:hAnsi="Tahoma" w:cs="Arial"/>
      <w:i/>
      <w:iCs/>
      <w:color w:val="000000"/>
      <w:sz w:val="18"/>
      <w:szCs w:val="20"/>
    </w:rPr>
  </w:style>
  <w:style w:type="character" w:customStyle="1" w:styleId="SemEspaamentoChar">
    <w:name w:val="Sem Espaçamento Char"/>
    <w:basedOn w:val="Fontepargpadro"/>
    <w:link w:val="SemEspaamento"/>
    <w:qFormat/>
    <w:rPr>
      <w:rFonts w:eastAsia="Calibri"/>
      <w:lang w:eastAsia="pt-BR"/>
    </w:rPr>
  </w:style>
  <w:style w:type="character" w:customStyle="1" w:styleId="Ttulo4Char">
    <w:name w:val="Título 4 Char"/>
    <w:basedOn w:val="Fontepargpadro"/>
    <w:link w:val="Ttulo4"/>
    <w:qFormat/>
    <w:rPr>
      <w:rFonts w:ascii="Tahoma" w:eastAsia="Calibri" w:hAnsi="Tahoma" w:cs="Tahoma"/>
      <w:i/>
      <w:iCs/>
      <w:sz w:val="18"/>
    </w:rPr>
  </w:style>
  <w:style w:type="character" w:customStyle="1" w:styleId="Ttulo5Char">
    <w:name w:val="Título 5 Char"/>
    <w:basedOn w:val="Fontepargpadro"/>
    <w:link w:val="Ttulo5"/>
    <w:qFormat/>
    <w:rPr>
      <w:rFonts w:ascii="Calibri Light" w:eastAsia="Calibri" w:hAnsi="Calibri Light" w:cs="Tahoma"/>
      <w:color w:val="2F5496"/>
      <w:sz w:val="18"/>
    </w:rPr>
  </w:style>
  <w:style w:type="character" w:customStyle="1" w:styleId="Ttulo6Char">
    <w:name w:val="Título 6 Char"/>
    <w:basedOn w:val="Fontepargpadro"/>
    <w:link w:val="Ttulo6"/>
    <w:qFormat/>
    <w:rPr>
      <w:rFonts w:ascii="Calibri Light" w:eastAsia="Calibri" w:hAnsi="Calibri Light" w:cs="Tahoma"/>
      <w:color w:val="1F3763"/>
      <w:sz w:val="18"/>
    </w:rPr>
  </w:style>
  <w:style w:type="character" w:customStyle="1" w:styleId="Ttulo7Char">
    <w:name w:val="Título 7 Char"/>
    <w:basedOn w:val="Fontepargpadro"/>
    <w:link w:val="Ttulo7"/>
    <w:qFormat/>
    <w:rPr>
      <w:rFonts w:ascii="Calibri Light" w:eastAsia="Calibri" w:hAnsi="Calibri Light" w:cs="Tahoma"/>
      <w:i/>
      <w:iCs/>
      <w:color w:val="1F3763"/>
      <w:sz w:val="18"/>
    </w:rPr>
  </w:style>
  <w:style w:type="character" w:customStyle="1" w:styleId="Ttulo8Char">
    <w:name w:val="Título 8 Char"/>
    <w:basedOn w:val="Fontepargpadro"/>
    <w:link w:val="Ttulo8"/>
    <w:qFormat/>
    <w:rPr>
      <w:rFonts w:ascii="Calibri Light" w:eastAsia="Calibri" w:hAnsi="Calibri Light" w:cs="Tahoma"/>
      <w:color w:val="272727"/>
      <w:sz w:val="21"/>
      <w:szCs w:val="21"/>
    </w:rPr>
  </w:style>
  <w:style w:type="character" w:customStyle="1" w:styleId="Ttulo9Char">
    <w:name w:val="Título 9 Char"/>
    <w:basedOn w:val="Fontepargpadro"/>
    <w:link w:val="Ttulo9"/>
    <w:qFormat/>
    <w:rPr>
      <w:rFonts w:ascii="Calibri Light" w:eastAsia="Calibri" w:hAnsi="Calibri Light" w:cs="Tahoma"/>
      <w:i/>
      <w:iCs/>
      <w:color w:val="272727"/>
      <w:sz w:val="21"/>
      <w:szCs w:val="21"/>
    </w:rPr>
  </w:style>
  <w:style w:type="character" w:customStyle="1" w:styleId="fontstyle01">
    <w:name w:val="fontstyle01"/>
    <w:basedOn w:val="Fontepargpadro"/>
    <w:qFormat/>
    <w:rPr>
      <w:rFonts w:ascii="Arial-BoldMT" w:hAnsi="Arial-BoldMT"/>
      <w:b/>
      <w:bCs/>
      <w:i w:val="0"/>
      <w:iCs w:val="0"/>
      <w:color w:val="0000FF"/>
      <w:sz w:val="18"/>
      <w:szCs w:val="18"/>
    </w:rPr>
  </w:style>
  <w:style w:type="character" w:customStyle="1" w:styleId="fontstyle21">
    <w:name w:val="fontstyle21"/>
    <w:basedOn w:val="Fontepargpadro"/>
    <w:qFormat/>
    <w:rPr>
      <w:rFonts w:ascii="ArialMT" w:hAnsi="ArialMT"/>
      <w:b w:val="0"/>
      <w:bCs w:val="0"/>
      <w:i w:val="0"/>
      <w:iCs w:val="0"/>
      <w:color w:val="000000"/>
      <w:sz w:val="18"/>
      <w:szCs w:val="18"/>
    </w:rPr>
  </w:style>
  <w:style w:type="character" w:customStyle="1" w:styleId="CitaoIntensaChar">
    <w:name w:val="Citação Intensa Char"/>
    <w:basedOn w:val="Fontepargpadro"/>
    <w:link w:val="CitaoIntensa"/>
    <w:qFormat/>
    <w:rPr>
      <w:rFonts w:ascii="Tahoma" w:hAnsi="Tahoma"/>
      <w:i/>
      <w:iCs/>
      <w:color w:val="4472C4"/>
      <w:sz w:val="20"/>
    </w:rPr>
  </w:style>
  <w:style w:type="paragraph" w:styleId="Ttulo">
    <w:name w:val="Title"/>
    <w:basedOn w:val="Normal"/>
    <w:next w:val="Corpodetexto"/>
    <w:uiPriority w:val="10"/>
    <w:qFormat/>
    <w:pPr>
      <w:keepNext/>
      <w:spacing w:before="240"/>
      <w:contextualSpacing w:val="0"/>
    </w:pPr>
    <w:rPr>
      <w:rFonts w:ascii="Liberation Sans" w:eastAsia="Microsoft YaHei" w:hAnsi="Liberation Sans" w:cs="Arial"/>
      <w:sz w:val="28"/>
      <w:szCs w:val="28"/>
    </w:rPr>
  </w:style>
  <w:style w:type="paragraph" w:styleId="Corpodetexto">
    <w:name w:val="Body Text"/>
    <w:basedOn w:val="Normal"/>
    <w:pPr>
      <w:spacing w:after="140" w:line="276" w:lineRule="auto"/>
      <w:contextualSpacing w:val="0"/>
    </w:pPr>
  </w:style>
  <w:style w:type="paragraph" w:styleId="Lista">
    <w:name w:val="List"/>
    <w:basedOn w:val="Corpodetexto"/>
    <w:rPr>
      <w:rFonts w:cs="Arial"/>
    </w:rPr>
  </w:style>
  <w:style w:type="paragraph" w:styleId="Legenda">
    <w:name w:val="caption"/>
    <w:basedOn w:val="Normal"/>
    <w:qFormat/>
    <w:pPr>
      <w:suppressLineNumbers/>
      <w:spacing w:before="120"/>
      <w:contextualSpacing w:val="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pPr>
      <w:tabs>
        <w:tab w:val="center" w:pos="4252"/>
        <w:tab w:val="right" w:pos="8504"/>
      </w:tabs>
      <w:spacing w:after="0"/>
    </w:pPr>
  </w:style>
  <w:style w:type="paragraph" w:styleId="Rodap">
    <w:name w:val="footer"/>
    <w:basedOn w:val="Normal"/>
    <w:link w:val="RodapChar"/>
    <w:pPr>
      <w:tabs>
        <w:tab w:val="center" w:pos="4252"/>
        <w:tab w:val="right" w:pos="8504"/>
      </w:tabs>
      <w:spacing w:after="0"/>
    </w:pPr>
  </w:style>
  <w:style w:type="paragraph" w:styleId="PargrafodaLista">
    <w:name w:val="List Paragraph"/>
    <w:basedOn w:val="Normal"/>
    <w:qFormat/>
    <w:pPr>
      <w:ind w:left="720"/>
    </w:pPr>
  </w:style>
  <w:style w:type="paragraph" w:styleId="Textodebalo">
    <w:name w:val="Balloon Text"/>
    <w:basedOn w:val="Normal"/>
    <w:link w:val="TextodebaloChar"/>
    <w:qFormat/>
    <w:pPr>
      <w:spacing w:after="0"/>
    </w:pPr>
    <w:rPr>
      <w:rFonts w:ascii="Segoe UI" w:hAnsi="Segoe UI" w:cs="Segoe UI"/>
      <w:szCs w:val="18"/>
    </w:rPr>
  </w:style>
  <w:style w:type="paragraph" w:styleId="Textodecomentrio">
    <w:name w:val="annotation text"/>
    <w:basedOn w:val="Normal"/>
    <w:link w:val="TextodecomentrioChar"/>
    <w:qFormat/>
    <w:rPr>
      <w:szCs w:val="20"/>
    </w:rPr>
  </w:style>
  <w:style w:type="paragraph" w:styleId="Assuntodocomentrio">
    <w:name w:val="annotation subject"/>
    <w:basedOn w:val="Textodecomentrio"/>
    <w:next w:val="Textodecomentrio"/>
    <w:link w:val="AssuntodocomentrioChar"/>
    <w:qFormat/>
    <w:rPr>
      <w:b/>
      <w:bCs/>
    </w:rPr>
  </w:style>
  <w:style w:type="paragraph" w:styleId="Textodenotaderodap">
    <w:name w:val="footnote text"/>
    <w:basedOn w:val="Normal"/>
    <w:link w:val="TextodenotaderodapChar"/>
    <w:pPr>
      <w:spacing w:after="0"/>
      <w:ind w:firstLine="0"/>
    </w:pPr>
    <w:rPr>
      <w:rFonts w:ascii="Calibri" w:hAnsi="Calibri"/>
      <w:szCs w:val="20"/>
    </w:rPr>
  </w:style>
  <w:style w:type="paragraph" w:styleId="Citao">
    <w:name w:val="Quote"/>
    <w:basedOn w:val="Normal"/>
    <w:next w:val="Normal"/>
    <w:link w:val="CitaoChar"/>
    <w:autoRedefine/>
    <w:qFormat/>
    <w:pPr>
      <w:spacing w:before="200" w:after="200"/>
      <w:ind w:left="2268" w:firstLine="0"/>
    </w:pPr>
    <w:rPr>
      <w:rFonts w:cs="Arial"/>
      <w:i/>
      <w:iCs/>
      <w:color w:val="000000"/>
      <w:szCs w:val="20"/>
      <w:shd w:val="clear" w:color="auto" w:fill="FFFFFF"/>
    </w:rPr>
  </w:style>
  <w:style w:type="paragraph" w:styleId="SemEspaamento">
    <w:name w:val="No Spacing"/>
    <w:link w:val="SemEspaamentoChar"/>
    <w:qFormat/>
    <w:rPr>
      <w:lang w:eastAsia="pt-BR"/>
    </w:rPr>
  </w:style>
  <w:style w:type="paragraph" w:styleId="Ttulodendiceremissivo">
    <w:name w:val="index heading"/>
    <w:basedOn w:val="Ttulo"/>
  </w:style>
  <w:style w:type="paragraph" w:styleId="CabealhodoSumrio">
    <w:name w:val="TOC Heading"/>
    <w:basedOn w:val="Ttulo1"/>
    <w:next w:val="Normal"/>
    <w:pPr>
      <w:numPr>
        <w:numId w:val="0"/>
      </w:numPr>
      <w:spacing w:line="259" w:lineRule="auto"/>
      <w:ind w:left="850" w:hanging="425"/>
      <w:outlineLvl w:val="9"/>
    </w:pPr>
    <w:rPr>
      <w:rFonts w:ascii="Calibri Light" w:hAnsi="Calibri Light"/>
      <w:b w:val="0"/>
      <w:color w:val="2F5496"/>
      <w:sz w:val="32"/>
      <w:lang w:eastAsia="pt-BR"/>
    </w:rPr>
  </w:style>
  <w:style w:type="paragraph" w:styleId="Sumrio2">
    <w:name w:val="toc 2"/>
    <w:basedOn w:val="Normal"/>
    <w:next w:val="Normal"/>
    <w:autoRedefine/>
    <w:pPr>
      <w:spacing w:after="100" w:line="259" w:lineRule="auto"/>
      <w:ind w:left="220" w:firstLine="0"/>
    </w:pPr>
    <w:rPr>
      <w:rFonts w:ascii="Calibri" w:hAnsi="Calibri" w:cs="Times New Roman"/>
      <w:sz w:val="22"/>
      <w:lang w:eastAsia="pt-BR"/>
    </w:rPr>
  </w:style>
  <w:style w:type="paragraph" w:styleId="Sumrio1">
    <w:name w:val="toc 1"/>
    <w:basedOn w:val="Normal"/>
    <w:next w:val="Normal"/>
    <w:autoRedefine/>
    <w:pPr>
      <w:spacing w:after="100" w:line="259" w:lineRule="auto"/>
      <w:ind w:firstLine="0"/>
    </w:pPr>
    <w:rPr>
      <w:rFonts w:ascii="Calibri" w:hAnsi="Calibri" w:cs="Times New Roman"/>
      <w:sz w:val="22"/>
      <w:lang w:eastAsia="pt-BR"/>
    </w:rPr>
  </w:style>
  <w:style w:type="paragraph" w:styleId="Sumrio3">
    <w:name w:val="toc 3"/>
    <w:basedOn w:val="Normal"/>
    <w:next w:val="Normal"/>
    <w:autoRedefine/>
    <w:pPr>
      <w:spacing w:after="100" w:line="259" w:lineRule="auto"/>
      <w:ind w:left="440" w:firstLine="0"/>
    </w:pPr>
    <w:rPr>
      <w:rFonts w:ascii="Calibri" w:hAnsi="Calibri" w:cs="Times New Roman"/>
      <w:sz w:val="22"/>
      <w:lang w:eastAsia="pt-BR"/>
    </w:rPr>
  </w:style>
  <w:style w:type="paragraph" w:styleId="CitaoIntensa">
    <w:name w:val="Intense Quote"/>
    <w:basedOn w:val="Normal"/>
    <w:next w:val="Normal"/>
    <w:link w:val="CitaoIntensaChar"/>
    <w:qFormat/>
    <w:pPr>
      <w:pBdr>
        <w:top w:val="single" w:sz="4" w:space="10" w:color="4472C4"/>
        <w:bottom w:val="single" w:sz="4" w:space="10" w:color="4472C4"/>
      </w:pBdr>
      <w:spacing w:before="360" w:after="360"/>
      <w:ind w:left="864" w:right="864"/>
      <w:jc w:val="center"/>
    </w:pPr>
    <w:rPr>
      <w:i/>
      <w:iCs/>
      <w:color w:val="4472C4"/>
    </w:rPr>
  </w:style>
  <w:style w:type="paragraph" w:customStyle="1" w:styleId="EmentaLicitao">
    <w:name w:val="Ementa Licitação"/>
    <w:basedOn w:val="Normal"/>
    <w:qFormat/>
    <w:pPr>
      <w:numPr>
        <w:numId w:val="2"/>
      </w:numPr>
      <w:spacing w:before="280" w:after="200"/>
      <w:ind w:left="4253" w:right="284" w:firstLine="0"/>
      <w:contextualSpacing w:val="0"/>
    </w:pPr>
    <w:rPr>
      <w:rFonts w:eastAsia="Times New Roman" w:cs="Arial"/>
      <w:b/>
      <w:i/>
      <w:iCs/>
      <w:lang w:eastAsia="zh-CN"/>
    </w:rPr>
  </w:style>
  <w:style w:type="paragraph" w:styleId="Reviso">
    <w:name w:val="Revision"/>
    <w:qFormat/>
    <w:rPr>
      <w:rFonts w:ascii="Tahoma" w:hAnsi="Tahoma"/>
      <w:sz w:val="18"/>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DD3B7-1DFE-4943-A4AE-5443B0DF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2717</Words>
  <Characters>14672</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dc:description/>
  <cp:lastModifiedBy>Rodrigo Ritter</cp:lastModifiedBy>
  <cp:revision>12</cp:revision>
  <cp:lastPrinted>2023-02-16T11:55:00Z</cp:lastPrinted>
  <dcterms:created xsi:type="dcterms:W3CDTF">2023-03-10T12:55:00Z</dcterms:created>
  <dcterms:modified xsi:type="dcterms:W3CDTF">2025-06-06T12:28:00Z</dcterms:modified>
  <dc:language>pt-BR</dc:language>
</cp:coreProperties>
</file>